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250" w:line="540" w:lineRule="exact"/>
        <w:jc w:val="center"/>
        <w:rPr>
          <w:rFonts w:ascii="仿宋_GB2312" w:eastAsia="仿宋_GB2312"/>
          <w:b/>
          <w:sz w:val="72"/>
          <w:szCs w:val="72"/>
        </w:rPr>
      </w:pPr>
      <w:r>
        <w:rPr>
          <w:rFonts w:hint="eastAsia" w:ascii="仿宋_GB2312" w:eastAsia="仿宋_GB2312"/>
          <w:b/>
          <w:sz w:val="72"/>
          <w:szCs w:val="72"/>
        </w:rPr>
        <w:t>招标文件</w:t>
      </w:r>
    </w:p>
    <w:p>
      <w:pPr>
        <w:spacing w:line="540" w:lineRule="exact"/>
        <w:jc w:val="center"/>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36"/>
          <w:szCs w:val="36"/>
        </w:rPr>
      </w:pPr>
    </w:p>
    <w:p>
      <w:pPr>
        <w:spacing w:line="600" w:lineRule="exact"/>
        <w:ind w:left="1620" w:hanging="1620" w:hangingChars="450"/>
        <w:jc w:val="left"/>
        <w:rPr>
          <w:rFonts w:ascii="仿宋_GB2312" w:hAnsi="仿宋_GB2312" w:eastAsia="仿宋_GB2312" w:cs="仿宋_GB2312"/>
          <w:sz w:val="36"/>
          <w:szCs w:val="36"/>
        </w:rPr>
      </w:pPr>
      <w:bookmarkStart w:id="0" w:name="_Toc75962243"/>
      <w:bookmarkStart w:id="1" w:name="_Toc24708461"/>
      <w:r>
        <w:rPr>
          <w:rFonts w:hint="eastAsia" w:ascii="仿宋_GB2312" w:eastAsia="仿宋_GB2312"/>
          <w:sz w:val="36"/>
          <w:szCs w:val="36"/>
        </w:rPr>
        <w:t>项目名称：</w:t>
      </w:r>
      <w:bookmarkEnd w:id="0"/>
      <w:bookmarkEnd w:id="1"/>
      <w:bookmarkStart w:id="2" w:name="_Toc75962244"/>
      <w:bookmarkStart w:id="3" w:name="_Toc24708462"/>
      <w:r>
        <w:rPr>
          <w:rFonts w:hint="eastAsia" w:ascii="仿宋_GB2312" w:hAnsi="仿宋_GB2312" w:eastAsia="仿宋_GB2312" w:cs="仿宋_GB2312"/>
          <w:sz w:val="36"/>
          <w:szCs w:val="36"/>
        </w:rPr>
        <w:t>2021年第2期衢州市政府性资金结算平台资金竞争性存放</w:t>
      </w:r>
    </w:p>
    <w:p>
      <w:pPr>
        <w:pStyle w:val="3"/>
        <w:shd w:val="clear" w:color="auto" w:fill="FFFFFF"/>
        <w:spacing w:before="0" w:after="0" w:line="560" w:lineRule="exact"/>
        <w:jc w:val="left"/>
        <w:rPr>
          <w:rFonts w:hint="eastAsia" w:ascii="仿宋_GB2312" w:eastAsia="仿宋_GB2312"/>
          <w:b w:val="0"/>
          <w:sz w:val="36"/>
          <w:szCs w:val="36"/>
        </w:rPr>
      </w:pPr>
    </w:p>
    <w:p>
      <w:pPr>
        <w:pStyle w:val="3"/>
        <w:shd w:val="clear" w:color="auto" w:fill="FFFFFF"/>
        <w:spacing w:before="0" w:after="0" w:line="560" w:lineRule="exact"/>
        <w:jc w:val="left"/>
        <w:rPr>
          <w:rFonts w:ascii="仿宋_GB2312" w:eastAsia="仿宋_GB2312"/>
          <w:b w:val="0"/>
          <w:sz w:val="36"/>
          <w:szCs w:val="36"/>
        </w:rPr>
      </w:pPr>
      <w:r>
        <w:rPr>
          <w:rFonts w:hint="eastAsia" w:ascii="仿宋_GB2312" w:eastAsia="仿宋_GB2312"/>
          <w:b w:val="0"/>
          <w:sz w:val="36"/>
          <w:szCs w:val="36"/>
        </w:rPr>
        <w:t>项目编号：</w:t>
      </w:r>
      <w:bookmarkEnd w:id="2"/>
      <w:bookmarkEnd w:id="3"/>
      <w:r>
        <w:rPr>
          <w:rFonts w:hint="eastAsia" w:ascii="仿宋_GB2312" w:eastAsia="仿宋_GB2312"/>
          <w:b w:val="0"/>
          <w:sz w:val="36"/>
          <w:szCs w:val="36"/>
        </w:rPr>
        <w:t>QCGZ2021012</w:t>
      </w:r>
    </w:p>
    <w:p>
      <w:pPr>
        <w:spacing w:line="560" w:lineRule="exact"/>
        <w:rPr>
          <w:rFonts w:hint="eastAsia" w:ascii="仿宋_GB2312" w:eastAsia="仿宋_GB2312"/>
          <w:sz w:val="36"/>
          <w:szCs w:val="36"/>
        </w:rPr>
      </w:pPr>
    </w:p>
    <w:p>
      <w:pPr>
        <w:spacing w:line="560" w:lineRule="exact"/>
        <w:rPr>
          <w:rFonts w:ascii="仿宋_GB2312" w:eastAsia="仿宋_GB2312"/>
          <w:sz w:val="36"/>
          <w:szCs w:val="36"/>
        </w:rPr>
      </w:pPr>
      <w:r>
        <w:rPr>
          <w:rFonts w:hint="eastAsia" w:ascii="仿宋_GB2312" w:eastAsia="仿宋_GB2312"/>
          <w:sz w:val="36"/>
          <w:szCs w:val="36"/>
        </w:rPr>
        <w:t>委托单位：衢州市财政国库支付中心</w:t>
      </w:r>
    </w:p>
    <w:p>
      <w:pPr>
        <w:spacing w:line="56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rPr>
          <w:rFonts w:ascii="仿宋_GB2312" w:eastAsia="仿宋_GB2312"/>
          <w:sz w:val="32"/>
          <w:szCs w:val="32"/>
        </w:rPr>
      </w:pPr>
    </w:p>
    <w:p>
      <w:pPr>
        <w:spacing w:line="540" w:lineRule="exact"/>
        <w:ind w:firstLine="2880" w:firstLineChars="800"/>
        <w:jc w:val="both"/>
        <w:rPr>
          <w:rFonts w:ascii="仿宋_GB2312" w:hAnsi="仿宋" w:eastAsia="仿宋_GB2312"/>
          <w:sz w:val="36"/>
          <w:szCs w:val="36"/>
        </w:rPr>
      </w:pPr>
      <w:r>
        <w:rPr>
          <w:rFonts w:hint="eastAsia" w:ascii="仿宋_GB2312" w:hAnsi="仿宋" w:eastAsia="仿宋_GB2312"/>
          <w:sz w:val="36"/>
          <w:szCs w:val="36"/>
        </w:rPr>
        <w:t>招标机构：衢州市政府采购中心</w:t>
      </w:r>
    </w:p>
    <w:p>
      <w:pPr>
        <w:spacing w:line="540" w:lineRule="exact"/>
        <w:jc w:val="center"/>
        <w:rPr>
          <w:rFonts w:ascii="仿宋_GB2312" w:hAnsi="仿宋" w:eastAsia="仿宋_GB2312"/>
          <w:sz w:val="36"/>
          <w:szCs w:val="36"/>
        </w:rPr>
      </w:pPr>
    </w:p>
    <w:p>
      <w:pPr>
        <w:spacing w:line="540" w:lineRule="exact"/>
        <w:jc w:val="center"/>
        <w:rPr>
          <w:rFonts w:ascii="仿宋_GB2312" w:hAnsi="仿宋" w:eastAsia="仿宋_GB2312" w:cs="宋体"/>
          <w:sz w:val="36"/>
          <w:szCs w:val="36"/>
        </w:rPr>
        <w:sectPr>
          <w:headerReference r:id="rId3" w:type="default"/>
          <w:footerReference r:id="rId4" w:type="default"/>
          <w:pgSz w:w="11906" w:h="16838"/>
          <w:pgMar w:top="1389" w:right="1247" w:bottom="1389" w:left="1247" w:header="851" w:footer="992" w:gutter="397"/>
          <w:cols w:space="720" w:num="1"/>
          <w:docGrid w:linePitch="312" w:charSpace="0"/>
        </w:sectPr>
      </w:pPr>
      <w:r>
        <w:rPr>
          <w:rFonts w:hint="eastAsia" w:ascii="仿宋_GB2312" w:hAnsi="仿宋" w:eastAsia="仿宋_GB2312"/>
          <w:sz w:val="36"/>
          <w:szCs w:val="36"/>
        </w:rPr>
        <w:t xml:space="preserve">       </w:t>
      </w:r>
      <w:r>
        <w:rPr>
          <w:rFonts w:hint="eastAsia" w:ascii="仿宋_GB2312" w:hAnsi="仿宋" w:eastAsia="仿宋_GB2312"/>
          <w:sz w:val="36"/>
          <w:szCs w:val="36"/>
          <w:lang w:val="en-US" w:eastAsia="zh-CN"/>
        </w:rPr>
        <w:t xml:space="preserve">               </w:t>
      </w:r>
      <w:r>
        <w:rPr>
          <w:rFonts w:hint="eastAsia" w:ascii="仿宋_GB2312" w:hAnsi="仿宋" w:eastAsia="仿宋_GB2312"/>
          <w:sz w:val="36"/>
          <w:szCs w:val="36"/>
        </w:rPr>
        <w:t xml:space="preserve">   二</w:t>
      </w:r>
      <w:r>
        <w:rPr>
          <w:rFonts w:hint="eastAsia" w:ascii="仿宋_GB2312" w:hAnsi="仿宋" w:eastAsia="仿宋" w:cs="宋体"/>
          <w:sz w:val="36"/>
          <w:szCs w:val="36"/>
        </w:rPr>
        <w:t>〇</w:t>
      </w:r>
      <w:r>
        <w:rPr>
          <w:rFonts w:hint="eastAsia" w:ascii="仿宋_GB2312" w:hAnsi="仿宋" w:eastAsia="仿宋_GB2312"/>
          <w:sz w:val="36"/>
          <w:szCs w:val="36"/>
        </w:rPr>
        <w:t>二</w:t>
      </w:r>
      <w:r>
        <w:rPr>
          <w:rFonts w:hint="eastAsia" w:ascii="仿宋_GB2312" w:hAnsi="仿宋" w:eastAsia="仿宋" w:cs="宋体"/>
          <w:sz w:val="36"/>
          <w:szCs w:val="36"/>
        </w:rPr>
        <w:t>一</w:t>
      </w:r>
      <w:r>
        <w:rPr>
          <w:rFonts w:hint="eastAsia" w:ascii="仿宋_GB2312" w:hAnsi="仿宋" w:eastAsia="仿宋_GB2312" w:cs="宋体"/>
          <w:sz w:val="36"/>
          <w:szCs w:val="36"/>
        </w:rPr>
        <w:t>年七月</w:t>
      </w:r>
    </w:p>
    <w:p>
      <w:pPr>
        <w:snapToGrid w:val="0"/>
        <w:spacing w:line="540" w:lineRule="exact"/>
        <w:jc w:val="center"/>
        <w:rPr>
          <w:rFonts w:ascii="仿宋_GB2312" w:hAnsi="宋体" w:eastAsia="仿宋_GB2312" w:cs="宋体"/>
          <w:b/>
          <w:sz w:val="28"/>
          <w:szCs w:val="28"/>
        </w:rPr>
      </w:pPr>
      <w:bookmarkStart w:id="4" w:name="_Toc322352981"/>
      <w:bookmarkStart w:id="5" w:name="_Toc350256312"/>
      <w:bookmarkStart w:id="6" w:name="_Toc354401488"/>
      <w:r>
        <w:rPr>
          <w:rFonts w:hint="eastAsia" w:ascii="仿宋_GB2312" w:hAnsi="宋体" w:eastAsia="仿宋_GB2312" w:cs="宋体"/>
          <w:b/>
          <w:sz w:val="40"/>
          <w:szCs w:val="32"/>
        </w:rPr>
        <w:t xml:space="preserve"> 目 录</w:t>
      </w:r>
    </w:p>
    <w:p>
      <w:pPr>
        <w:pStyle w:val="51"/>
        <w:tabs>
          <w:tab w:val="right" w:leader="dot" w:pos="9118"/>
        </w:tabs>
        <w:rPr>
          <w:rFonts w:hAnsiTheme="minorHAnsi" w:cstheme="minorBidi"/>
          <w:b/>
          <w:smallCaps w:val="0"/>
          <w:sz w:val="28"/>
          <w:szCs w:val="28"/>
        </w:rPr>
      </w:pPr>
      <w:r>
        <w:rPr>
          <w:rFonts w:hint="eastAsia" w:hAnsi="仿宋" w:cs="宋体"/>
          <w:b/>
          <w:sz w:val="28"/>
          <w:szCs w:val="28"/>
        </w:rPr>
        <w:fldChar w:fldCharType="begin"/>
      </w:r>
      <w:r>
        <w:rPr>
          <w:rFonts w:hint="eastAsia" w:hAnsi="仿宋" w:cs="宋体"/>
          <w:b/>
          <w:sz w:val="28"/>
          <w:szCs w:val="28"/>
        </w:rPr>
        <w:instrText xml:space="preserve"> TOC \o "1-3" \h \z \u </w:instrText>
      </w:r>
      <w:r>
        <w:rPr>
          <w:rFonts w:hint="eastAsia" w:hAnsi="仿宋" w:cs="宋体"/>
          <w:b/>
          <w:sz w:val="28"/>
          <w:szCs w:val="28"/>
        </w:rPr>
        <w:fldChar w:fldCharType="separate"/>
      </w:r>
    </w:p>
    <w:p>
      <w:pPr>
        <w:pStyle w:val="51"/>
        <w:tabs>
          <w:tab w:val="right" w:leader="dot" w:pos="9118"/>
        </w:tabs>
        <w:rPr>
          <w:rFonts w:hAnsiTheme="minorHAnsi" w:cstheme="minorBidi"/>
          <w:b/>
          <w:smallCaps w:val="0"/>
          <w:sz w:val="28"/>
          <w:szCs w:val="28"/>
        </w:rPr>
      </w:pPr>
    </w:p>
    <w:p>
      <w:pPr>
        <w:pStyle w:val="40"/>
        <w:tabs>
          <w:tab w:val="right" w:leader="dot" w:pos="9118"/>
        </w:tabs>
        <w:rPr>
          <w:rFonts w:ascii="仿宋_GB2312" w:hAnsiTheme="minorHAnsi" w:cstheme="minorBidi"/>
          <w:b/>
          <w:sz w:val="28"/>
          <w:szCs w:val="28"/>
        </w:rPr>
      </w:pPr>
      <w:r>
        <w:fldChar w:fldCharType="begin"/>
      </w:r>
      <w:r>
        <w:instrText xml:space="preserve"> HYPERLINK \l "_Toc75962245" </w:instrText>
      </w:r>
      <w:r>
        <w:fldChar w:fldCharType="separate"/>
      </w:r>
      <w:r>
        <w:rPr>
          <w:rStyle w:val="73"/>
          <w:rFonts w:hint="eastAsia" w:ascii="仿宋_GB2312" w:hAnsi="宋体" w:cs="宋体"/>
          <w:b/>
          <w:sz w:val="28"/>
          <w:szCs w:val="28"/>
        </w:rPr>
        <w:t>第一章  招标公告</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_Toc75962245 \h </w:instrText>
      </w:r>
      <w:r>
        <w:rPr>
          <w:rFonts w:hint="eastAsia" w:ascii="仿宋_GB2312"/>
          <w:b/>
          <w:sz w:val="28"/>
          <w:szCs w:val="28"/>
        </w:rPr>
        <w:fldChar w:fldCharType="separate"/>
      </w:r>
      <w:r>
        <w:rPr>
          <w:rFonts w:hint="eastAsia" w:ascii="仿宋_GB2312"/>
          <w:b/>
          <w:sz w:val="28"/>
          <w:szCs w:val="28"/>
        </w:rPr>
        <w:t>3</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"_Toc75962247" </w:instrText>
      </w:r>
      <w:r>
        <w:fldChar w:fldCharType="separate"/>
      </w:r>
      <w:r>
        <w:rPr>
          <w:rStyle w:val="73"/>
          <w:rFonts w:hint="eastAsia" w:ascii="仿宋_GB2312" w:hAnsi="宋体" w:cs="宋体"/>
          <w:b/>
          <w:sz w:val="28"/>
          <w:szCs w:val="28"/>
        </w:rPr>
        <w:t>第二章  投标须知前附表及投标须知</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_Toc75962247 \h </w:instrText>
      </w:r>
      <w:r>
        <w:rPr>
          <w:rFonts w:hint="eastAsia" w:ascii="仿宋_GB2312"/>
          <w:b/>
          <w:sz w:val="28"/>
          <w:szCs w:val="28"/>
        </w:rPr>
        <w:fldChar w:fldCharType="separate"/>
      </w:r>
      <w:r>
        <w:rPr>
          <w:rFonts w:hint="eastAsia" w:ascii="仿宋_GB2312"/>
          <w:b/>
          <w:sz w:val="28"/>
          <w:szCs w:val="28"/>
        </w:rPr>
        <w:t>5</w:t>
      </w:r>
      <w:r>
        <w:rPr>
          <w:rFonts w:hint="eastAsia" w:ascii="仿宋_GB2312"/>
          <w:b/>
          <w:sz w:val="28"/>
          <w:szCs w:val="28"/>
        </w:rPr>
        <w:fldChar w:fldCharType="end"/>
      </w:r>
      <w:r>
        <w:rPr>
          <w:rFonts w:hint="eastAsia" w:ascii="仿宋_GB2312"/>
          <w:b/>
          <w:sz w:val="28"/>
          <w:szCs w:val="28"/>
        </w:rPr>
        <w:fldChar w:fldCharType="end"/>
      </w:r>
    </w:p>
    <w:p>
      <w:pPr>
        <w:pStyle w:val="51"/>
        <w:tabs>
          <w:tab w:val="right" w:leader="dot" w:pos="9118"/>
        </w:tabs>
        <w:rPr>
          <w:b/>
          <w:sz w:val="28"/>
          <w:szCs w:val="28"/>
        </w:rPr>
      </w:pPr>
      <w:r>
        <w:fldChar w:fldCharType="begin"/>
      </w:r>
      <w:r>
        <w:instrText xml:space="preserve"> HYPERLINK \l "_Toc75962248" </w:instrText>
      </w:r>
      <w:r>
        <w:fldChar w:fldCharType="separate"/>
      </w:r>
      <w:r>
        <w:rPr>
          <w:rStyle w:val="73"/>
          <w:rFonts w:hint="eastAsia" w:hAnsi="宋体" w:cs="宋体"/>
          <w:b/>
          <w:sz w:val="28"/>
          <w:szCs w:val="28"/>
        </w:rPr>
        <w:t>一、 投标须知前附表</w:t>
      </w:r>
      <w:r>
        <w:rPr>
          <w:rFonts w:hint="eastAsia"/>
          <w:b/>
          <w:sz w:val="28"/>
          <w:szCs w:val="28"/>
        </w:rPr>
        <w:tab/>
      </w:r>
      <w:r>
        <w:rPr>
          <w:rFonts w:hint="eastAsia"/>
          <w:b/>
          <w:sz w:val="28"/>
          <w:szCs w:val="28"/>
        </w:rPr>
        <w:fldChar w:fldCharType="begin"/>
      </w:r>
      <w:r>
        <w:rPr>
          <w:rFonts w:hint="eastAsia"/>
          <w:b/>
          <w:sz w:val="28"/>
          <w:szCs w:val="28"/>
        </w:rPr>
        <w:instrText xml:space="preserve"> PAGEREF _Toc75962248 \h </w:instrText>
      </w:r>
      <w:r>
        <w:rPr>
          <w:rFonts w:hint="eastAsia"/>
          <w:b/>
          <w:sz w:val="28"/>
          <w:szCs w:val="28"/>
        </w:rPr>
        <w:fldChar w:fldCharType="separate"/>
      </w:r>
      <w:r>
        <w:rPr>
          <w:rFonts w:hint="eastAsia"/>
          <w:b/>
          <w:sz w:val="28"/>
          <w:szCs w:val="28"/>
        </w:rPr>
        <w:t>5</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"_Toc75962249" </w:instrText>
      </w:r>
      <w:r>
        <w:fldChar w:fldCharType="separate"/>
      </w:r>
      <w:r>
        <w:rPr>
          <w:rStyle w:val="73"/>
          <w:rFonts w:hint="eastAsia"/>
          <w:b/>
          <w:sz w:val="28"/>
          <w:szCs w:val="28"/>
        </w:rPr>
        <w:t>二、 投标须知</w:t>
      </w:r>
      <w:r>
        <w:rPr>
          <w:rFonts w:hint="eastAsia"/>
          <w:b/>
          <w:sz w:val="28"/>
          <w:szCs w:val="28"/>
        </w:rPr>
        <w:tab/>
      </w:r>
      <w:r>
        <w:rPr>
          <w:rFonts w:hint="eastAsia"/>
          <w:b/>
          <w:sz w:val="28"/>
          <w:szCs w:val="28"/>
        </w:rPr>
        <w:fldChar w:fldCharType="begin"/>
      </w:r>
      <w:r>
        <w:rPr>
          <w:rFonts w:hint="eastAsia"/>
          <w:b/>
          <w:sz w:val="28"/>
          <w:szCs w:val="28"/>
        </w:rPr>
        <w:instrText xml:space="preserve"> PAGEREF _Toc75962249 \h </w:instrText>
      </w:r>
      <w:r>
        <w:rPr>
          <w:rFonts w:hint="eastAsia"/>
          <w:b/>
          <w:sz w:val="28"/>
          <w:szCs w:val="28"/>
        </w:rPr>
        <w:fldChar w:fldCharType="separate"/>
      </w:r>
      <w:r>
        <w:rPr>
          <w:rFonts w:hint="eastAsia"/>
          <w:b/>
          <w:sz w:val="28"/>
          <w:szCs w:val="28"/>
        </w:rPr>
        <w:t>5</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"_Toc75962250" </w:instrText>
      </w:r>
      <w:r>
        <w:fldChar w:fldCharType="separate"/>
      </w:r>
      <w:r>
        <w:rPr>
          <w:rStyle w:val="73"/>
          <w:rFonts w:hint="eastAsia"/>
          <w:b/>
          <w:sz w:val="28"/>
          <w:szCs w:val="28"/>
        </w:rPr>
        <w:t>三、 招标文件说明</w:t>
      </w:r>
      <w:r>
        <w:rPr>
          <w:rFonts w:hint="eastAsia"/>
          <w:b/>
          <w:sz w:val="28"/>
          <w:szCs w:val="28"/>
        </w:rPr>
        <w:tab/>
      </w:r>
      <w:r>
        <w:rPr>
          <w:rFonts w:hint="eastAsia"/>
          <w:b/>
          <w:sz w:val="28"/>
          <w:szCs w:val="28"/>
        </w:rPr>
        <w:fldChar w:fldCharType="begin"/>
      </w:r>
      <w:r>
        <w:rPr>
          <w:rFonts w:hint="eastAsia"/>
          <w:b/>
          <w:sz w:val="28"/>
          <w:szCs w:val="28"/>
        </w:rPr>
        <w:instrText xml:space="preserve"> PAGEREF _Toc75962250 \h </w:instrText>
      </w:r>
      <w:r>
        <w:rPr>
          <w:rFonts w:hint="eastAsia"/>
          <w:b/>
          <w:sz w:val="28"/>
          <w:szCs w:val="28"/>
        </w:rPr>
        <w:fldChar w:fldCharType="separate"/>
      </w:r>
      <w:r>
        <w:rPr>
          <w:rFonts w:hint="eastAsia"/>
          <w:b/>
          <w:sz w:val="28"/>
          <w:szCs w:val="28"/>
        </w:rPr>
        <w:t>6</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"_Toc75962251" </w:instrText>
      </w:r>
      <w:r>
        <w:fldChar w:fldCharType="separate"/>
      </w:r>
      <w:r>
        <w:rPr>
          <w:rStyle w:val="73"/>
          <w:rFonts w:hint="eastAsia"/>
          <w:b/>
          <w:sz w:val="28"/>
          <w:szCs w:val="28"/>
        </w:rPr>
        <w:t>四、 投标文件的编制</w:t>
      </w:r>
      <w:r>
        <w:rPr>
          <w:rFonts w:hint="eastAsia"/>
          <w:b/>
          <w:sz w:val="28"/>
          <w:szCs w:val="28"/>
        </w:rPr>
        <w:tab/>
      </w:r>
      <w:r>
        <w:rPr>
          <w:rFonts w:hint="eastAsia"/>
          <w:b/>
          <w:sz w:val="28"/>
          <w:szCs w:val="28"/>
        </w:rPr>
        <w:fldChar w:fldCharType="begin"/>
      </w:r>
      <w:r>
        <w:rPr>
          <w:rFonts w:hint="eastAsia"/>
          <w:b/>
          <w:sz w:val="28"/>
          <w:szCs w:val="28"/>
        </w:rPr>
        <w:instrText xml:space="preserve"> PAGEREF _Toc75962251 \h </w:instrText>
      </w:r>
      <w:r>
        <w:rPr>
          <w:rFonts w:hint="eastAsia"/>
          <w:b/>
          <w:sz w:val="28"/>
          <w:szCs w:val="28"/>
        </w:rPr>
        <w:fldChar w:fldCharType="separate"/>
      </w:r>
      <w:r>
        <w:rPr>
          <w:rFonts w:hint="eastAsia"/>
          <w:b/>
          <w:sz w:val="28"/>
          <w:szCs w:val="28"/>
        </w:rPr>
        <w:t>6</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"_Toc75962252" </w:instrText>
      </w:r>
      <w:r>
        <w:fldChar w:fldCharType="separate"/>
      </w:r>
      <w:r>
        <w:rPr>
          <w:rStyle w:val="73"/>
          <w:rFonts w:hint="eastAsia"/>
          <w:b/>
          <w:sz w:val="28"/>
          <w:szCs w:val="28"/>
        </w:rPr>
        <w:t>五、 投标保证金</w:t>
      </w:r>
      <w:r>
        <w:rPr>
          <w:rFonts w:hint="eastAsia"/>
          <w:b/>
          <w:sz w:val="28"/>
          <w:szCs w:val="28"/>
        </w:rPr>
        <w:tab/>
      </w:r>
      <w:r>
        <w:rPr>
          <w:rFonts w:hint="eastAsia"/>
          <w:b/>
          <w:sz w:val="28"/>
          <w:szCs w:val="28"/>
        </w:rPr>
        <w:fldChar w:fldCharType="begin"/>
      </w:r>
      <w:r>
        <w:rPr>
          <w:rFonts w:hint="eastAsia"/>
          <w:b/>
          <w:sz w:val="28"/>
          <w:szCs w:val="28"/>
        </w:rPr>
        <w:instrText xml:space="preserve"> PAGEREF _Toc75962252 \h </w:instrText>
      </w:r>
      <w:r>
        <w:rPr>
          <w:rFonts w:hint="eastAsia"/>
          <w:b/>
          <w:sz w:val="28"/>
          <w:szCs w:val="28"/>
        </w:rPr>
        <w:fldChar w:fldCharType="separate"/>
      </w:r>
      <w:r>
        <w:rPr>
          <w:rFonts w:hint="eastAsia"/>
          <w:b/>
          <w:sz w:val="28"/>
          <w:szCs w:val="28"/>
        </w:rPr>
        <w:t>8</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"_Toc75962254" </w:instrText>
      </w:r>
      <w:r>
        <w:fldChar w:fldCharType="separate"/>
      </w:r>
      <w:r>
        <w:rPr>
          <w:rStyle w:val="73"/>
          <w:rFonts w:hint="eastAsia"/>
          <w:b/>
          <w:sz w:val="28"/>
          <w:szCs w:val="28"/>
        </w:rPr>
        <w:t>六、 投标说明</w:t>
      </w:r>
      <w:r>
        <w:rPr>
          <w:rFonts w:hint="eastAsia"/>
          <w:b/>
          <w:sz w:val="28"/>
          <w:szCs w:val="28"/>
        </w:rPr>
        <w:tab/>
      </w:r>
      <w:r>
        <w:rPr>
          <w:rFonts w:hint="eastAsia"/>
          <w:b/>
          <w:sz w:val="28"/>
          <w:szCs w:val="28"/>
        </w:rPr>
        <w:fldChar w:fldCharType="begin"/>
      </w:r>
      <w:r>
        <w:rPr>
          <w:rFonts w:hint="eastAsia"/>
          <w:b/>
          <w:sz w:val="28"/>
          <w:szCs w:val="28"/>
        </w:rPr>
        <w:instrText xml:space="preserve"> PAGEREF _Toc75962254 \h </w:instrText>
      </w:r>
      <w:r>
        <w:rPr>
          <w:rFonts w:hint="eastAsia"/>
          <w:b/>
          <w:sz w:val="28"/>
          <w:szCs w:val="28"/>
        </w:rPr>
        <w:fldChar w:fldCharType="separate"/>
      </w:r>
      <w:r>
        <w:rPr>
          <w:rFonts w:hint="eastAsia"/>
          <w:b/>
          <w:sz w:val="28"/>
          <w:szCs w:val="28"/>
        </w:rPr>
        <w:t>8</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"_Toc75962255" </w:instrText>
      </w:r>
      <w:r>
        <w:fldChar w:fldCharType="separate"/>
      </w:r>
      <w:r>
        <w:rPr>
          <w:rStyle w:val="73"/>
          <w:rFonts w:hint="eastAsia"/>
          <w:b/>
          <w:sz w:val="28"/>
          <w:szCs w:val="28"/>
        </w:rPr>
        <w:t>七、 投标无效的情形</w:t>
      </w:r>
      <w:r>
        <w:rPr>
          <w:rFonts w:hint="eastAsia"/>
          <w:b/>
          <w:sz w:val="28"/>
          <w:szCs w:val="28"/>
        </w:rPr>
        <w:tab/>
      </w:r>
      <w:r>
        <w:rPr>
          <w:rFonts w:hint="eastAsia"/>
          <w:b/>
          <w:sz w:val="28"/>
          <w:szCs w:val="28"/>
        </w:rPr>
        <w:fldChar w:fldCharType="begin"/>
      </w:r>
      <w:r>
        <w:rPr>
          <w:rFonts w:hint="eastAsia"/>
          <w:b/>
          <w:sz w:val="28"/>
          <w:szCs w:val="28"/>
        </w:rPr>
        <w:instrText xml:space="preserve"> PAGEREF _Toc75962255 \h </w:instrText>
      </w:r>
      <w:r>
        <w:rPr>
          <w:rFonts w:hint="eastAsia"/>
          <w:b/>
          <w:sz w:val="28"/>
          <w:szCs w:val="28"/>
        </w:rPr>
        <w:fldChar w:fldCharType="separate"/>
      </w:r>
      <w:r>
        <w:rPr>
          <w:rFonts w:hint="eastAsia"/>
          <w:b/>
          <w:sz w:val="28"/>
          <w:szCs w:val="28"/>
        </w:rPr>
        <w:t>9</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"_Toc75962256" </w:instrText>
      </w:r>
      <w:r>
        <w:fldChar w:fldCharType="separate"/>
      </w:r>
      <w:r>
        <w:rPr>
          <w:rStyle w:val="73"/>
          <w:rFonts w:hint="eastAsia"/>
          <w:b/>
          <w:sz w:val="28"/>
          <w:szCs w:val="28"/>
        </w:rPr>
        <w:t>八、</w:t>
      </w:r>
      <w:r>
        <w:rPr>
          <w:rStyle w:val="73"/>
          <w:rFonts w:hint="eastAsia" w:hAnsi="宋体"/>
          <w:b/>
          <w:bCs/>
          <w:sz w:val="28"/>
          <w:szCs w:val="28"/>
        </w:rPr>
        <w:t xml:space="preserve"> 串通投标的情形</w:t>
      </w:r>
      <w:r>
        <w:rPr>
          <w:rFonts w:hint="eastAsia"/>
          <w:b/>
          <w:sz w:val="28"/>
          <w:szCs w:val="28"/>
        </w:rPr>
        <w:tab/>
      </w:r>
      <w:r>
        <w:rPr>
          <w:rFonts w:hint="eastAsia"/>
          <w:b/>
          <w:sz w:val="28"/>
          <w:szCs w:val="28"/>
        </w:rPr>
        <w:fldChar w:fldCharType="begin"/>
      </w:r>
      <w:r>
        <w:rPr>
          <w:rFonts w:hint="eastAsia"/>
          <w:b/>
          <w:sz w:val="28"/>
          <w:szCs w:val="28"/>
        </w:rPr>
        <w:instrText xml:space="preserve"> PAGEREF _Toc75962256 \h </w:instrText>
      </w:r>
      <w:r>
        <w:rPr>
          <w:rFonts w:hint="eastAsia"/>
          <w:b/>
          <w:sz w:val="28"/>
          <w:szCs w:val="28"/>
        </w:rPr>
        <w:fldChar w:fldCharType="separate"/>
      </w:r>
      <w:r>
        <w:rPr>
          <w:rFonts w:hint="eastAsia"/>
          <w:b/>
          <w:sz w:val="28"/>
          <w:szCs w:val="28"/>
        </w:rPr>
        <w:t>10</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"_Toc75962257" </w:instrText>
      </w:r>
      <w:r>
        <w:fldChar w:fldCharType="separate"/>
      </w:r>
      <w:r>
        <w:rPr>
          <w:rStyle w:val="73"/>
          <w:rFonts w:hint="eastAsia"/>
          <w:b/>
          <w:sz w:val="28"/>
          <w:szCs w:val="28"/>
        </w:rPr>
        <w:t>九、 废标的情形</w:t>
      </w:r>
      <w:r>
        <w:rPr>
          <w:rFonts w:hint="eastAsia"/>
          <w:b/>
          <w:sz w:val="28"/>
          <w:szCs w:val="28"/>
        </w:rPr>
        <w:tab/>
      </w:r>
      <w:r>
        <w:rPr>
          <w:rFonts w:hint="eastAsia"/>
          <w:b/>
          <w:sz w:val="28"/>
          <w:szCs w:val="28"/>
        </w:rPr>
        <w:fldChar w:fldCharType="begin"/>
      </w:r>
      <w:r>
        <w:rPr>
          <w:rFonts w:hint="eastAsia"/>
          <w:b/>
          <w:sz w:val="28"/>
          <w:szCs w:val="28"/>
        </w:rPr>
        <w:instrText xml:space="preserve"> PAGEREF _Toc75962257 \h </w:instrText>
      </w:r>
      <w:r>
        <w:rPr>
          <w:rFonts w:hint="eastAsia"/>
          <w:b/>
          <w:sz w:val="28"/>
          <w:szCs w:val="28"/>
        </w:rPr>
        <w:fldChar w:fldCharType="separate"/>
      </w:r>
      <w:r>
        <w:rPr>
          <w:rFonts w:hint="eastAsia"/>
          <w:b/>
          <w:sz w:val="28"/>
          <w:szCs w:val="28"/>
        </w:rPr>
        <w:t>10</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"_Toc75962258" </w:instrText>
      </w:r>
      <w:r>
        <w:fldChar w:fldCharType="separate"/>
      </w:r>
      <w:r>
        <w:rPr>
          <w:rStyle w:val="73"/>
          <w:rFonts w:hint="eastAsia"/>
          <w:b/>
          <w:sz w:val="28"/>
          <w:szCs w:val="28"/>
        </w:rPr>
        <w:t>十、 开标和评标</w:t>
      </w:r>
      <w:r>
        <w:rPr>
          <w:rFonts w:hint="eastAsia"/>
          <w:b/>
          <w:sz w:val="28"/>
          <w:szCs w:val="28"/>
        </w:rPr>
        <w:tab/>
      </w:r>
      <w:r>
        <w:rPr>
          <w:rFonts w:hint="eastAsia"/>
          <w:b/>
          <w:sz w:val="28"/>
          <w:szCs w:val="28"/>
        </w:rPr>
        <w:fldChar w:fldCharType="begin"/>
      </w:r>
      <w:r>
        <w:rPr>
          <w:rFonts w:hint="eastAsia"/>
          <w:b/>
          <w:sz w:val="28"/>
          <w:szCs w:val="28"/>
        </w:rPr>
        <w:instrText xml:space="preserve"> PAGEREF _Toc75962258 \h </w:instrText>
      </w:r>
      <w:r>
        <w:rPr>
          <w:rFonts w:hint="eastAsia"/>
          <w:b/>
          <w:sz w:val="28"/>
          <w:szCs w:val="28"/>
        </w:rPr>
        <w:fldChar w:fldCharType="separate"/>
      </w:r>
      <w:r>
        <w:rPr>
          <w:rFonts w:hint="eastAsia"/>
          <w:b/>
          <w:sz w:val="28"/>
          <w:szCs w:val="28"/>
        </w:rPr>
        <w:t>10</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"_Toc75962259" </w:instrText>
      </w:r>
      <w:r>
        <w:fldChar w:fldCharType="separate"/>
      </w:r>
      <w:r>
        <w:rPr>
          <w:rStyle w:val="73"/>
          <w:rFonts w:hint="eastAsia"/>
          <w:b/>
          <w:sz w:val="28"/>
          <w:szCs w:val="28"/>
        </w:rPr>
        <w:t>十一、 授予合同</w:t>
      </w:r>
      <w:r>
        <w:rPr>
          <w:rFonts w:hint="eastAsia"/>
          <w:b/>
          <w:sz w:val="28"/>
          <w:szCs w:val="28"/>
        </w:rPr>
        <w:tab/>
      </w:r>
      <w:r>
        <w:rPr>
          <w:rFonts w:hint="eastAsia"/>
          <w:b/>
          <w:sz w:val="28"/>
          <w:szCs w:val="28"/>
        </w:rPr>
        <w:fldChar w:fldCharType="begin"/>
      </w:r>
      <w:r>
        <w:rPr>
          <w:rFonts w:hint="eastAsia"/>
          <w:b/>
          <w:sz w:val="28"/>
          <w:szCs w:val="28"/>
        </w:rPr>
        <w:instrText xml:space="preserve"> PAGEREF _Toc75962259 \h </w:instrText>
      </w:r>
      <w:r>
        <w:rPr>
          <w:rFonts w:hint="eastAsia"/>
          <w:b/>
          <w:sz w:val="28"/>
          <w:szCs w:val="28"/>
        </w:rPr>
        <w:fldChar w:fldCharType="separate"/>
      </w:r>
      <w:r>
        <w:rPr>
          <w:rFonts w:hint="eastAsia"/>
          <w:b/>
          <w:sz w:val="28"/>
          <w:szCs w:val="28"/>
        </w:rPr>
        <w:t>12</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"_Toc75962260" </w:instrText>
      </w:r>
      <w:r>
        <w:fldChar w:fldCharType="separate"/>
      </w:r>
      <w:r>
        <w:rPr>
          <w:rStyle w:val="73"/>
          <w:rFonts w:hint="eastAsia"/>
          <w:b/>
          <w:sz w:val="28"/>
          <w:szCs w:val="28"/>
        </w:rPr>
        <w:t>十二、 其他</w:t>
      </w:r>
      <w:r>
        <w:rPr>
          <w:rFonts w:hint="eastAsia"/>
          <w:b/>
          <w:sz w:val="28"/>
          <w:szCs w:val="28"/>
        </w:rPr>
        <w:tab/>
      </w:r>
      <w:r>
        <w:rPr>
          <w:rFonts w:hint="eastAsia"/>
          <w:b/>
          <w:sz w:val="28"/>
          <w:szCs w:val="28"/>
        </w:rPr>
        <w:fldChar w:fldCharType="begin"/>
      </w:r>
      <w:r>
        <w:rPr>
          <w:rFonts w:hint="eastAsia"/>
          <w:b/>
          <w:sz w:val="28"/>
          <w:szCs w:val="28"/>
        </w:rPr>
        <w:instrText xml:space="preserve"> PAGEREF _Toc75962260 \h </w:instrText>
      </w:r>
      <w:r>
        <w:rPr>
          <w:rFonts w:hint="eastAsia"/>
          <w:b/>
          <w:sz w:val="28"/>
          <w:szCs w:val="28"/>
        </w:rPr>
        <w:fldChar w:fldCharType="separate"/>
      </w:r>
      <w:r>
        <w:rPr>
          <w:rFonts w:hint="eastAsia"/>
          <w:b/>
          <w:sz w:val="28"/>
          <w:szCs w:val="28"/>
        </w:rPr>
        <w:t>13</w:t>
      </w:r>
      <w:r>
        <w:rPr>
          <w:rFonts w:hint="eastAsia"/>
          <w:b/>
          <w:sz w:val="28"/>
          <w:szCs w:val="28"/>
        </w:rPr>
        <w:fldChar w:fldCharType="end"/>
      </w:r>
      <w:r>
        <w:rPr>
          <w:rFonts w:hint="eastAsia"/>
          <w:b/>
          <w:sz w:val="28"/>
          <w:szCs w:val="28"/>
        </w:rPr>
        <w:fldChar w:fldCharType="end"/>
      </w:r>
    </w:p>
    <w:p/>
    <w:p>
      <w:pPr>
        <w:pStyle w:val="40"/>
        <w:tabs>
          <w:tab w:val="right" w:leader="dot" w:pos="9118"/>
        </w:tabs>
        <w:rPr>
          <w:rFonts w:ascii="仿宋_GB2312" w:hAnsiTheme="minorHAnsi" w:cstheme="minorBidi"/>
          <w:b/>
          <w:sz w:val="28"/>
          <w:szCs w:val="28"/>
        </w:rPr>
      </w:pPr>
      <w:r>
        <w:fldChar w:fldCharType="begin"/>
      </w:r>
      <w:r>
        <w:instrText xml:space="preserve"> HYPERLINK \l "_Toc75962261" </w:instrText>
      </w:r>
      <w:r>
        <w:fldChar w:fldCharType="separate"/>
      </w:r>
      <w:r>
        <w:rPr>
          <w:rStyle w:val="73"/>
          <w:rFonts w:hint="eastAsia" w:ascii="仿宋_GB2312" w:hAnsi="宋体" w:cs="宋体"/>
          <w:b/>
          <w:sz w:val="28"/>
          <w:szCs w:val="28"/>
        </w:rPr>
        <w:t>第三章  招标内容及要求</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_Toc75962261 \h </w:instrText>
      </w:r>
      <w:r>
        <w:rPr>
          <w:rFonts w:hint="eastAsia" w:ascii="仿宋_GB2312"/>
          <w:b/>
          <w:sz w:val="28"/>
          <w:szCs w:val="28"/>
        </w:rPr>
        <w:fldChar w:fldCharType="separate"/>
      </w:r>
      <w:r>
        <w:rPr>
          <w:rFonts w:hint="eastAsia" w:ascii="仿宋_GB2312"/>
          <w:b/>
          <w:sz w:val="28"/>
          <w:szCs w:val="28"/>
        </w:rPr>
        <w:t>14</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"_Toc75962262" </w:instrText>
      </w:r>
      <w:r>
        <w:fldChar w:fldCharType="separate"/>
      </w:r>
      <w:r>
        <w:rPr>
          <w:rStyle w:val="73"/>
          <w:rFonts w:hint="eastAsia" w:ascii="仿宋_GB2312" w:hAnsi="宋体" w:cs="宋体"/>
          <w:b/>
          <w:sz w:val="28"/>
          <w:szCs w:val="28"/>
        </w:rPr>
        <w:t>第四章  合同文本</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_Toc75962262 \h </w:instrText>
      </w:r>
      <w:r>
        <w:rPr>
          <w:rFonts w:hint="eastAsia" w:ascii="仿宋_GB2312"/>
          <w:b/>
          <w:sz w:val="28"/>
          <w:szCs w:val="28"/>
        </w:rPr>
        <w:fldChar w:fldCharType="separate"/>
      </w:r>
      <w:r>
        <w:rPr>
          <w:rFonts w:hint="eastAsia" w:ascii="仿宋_GB2312"/>
          <w:b/>
          <w:sz w:val="28"/>
          <w:szCs w:val="28"/>
        </w:rPr>
        <w:t>16</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"_Toc75962263" </w:instrText>
      </w:r>
      <w:r>
        <w:fldChar w:fldCharType="separate"/>
      </w:r>
      <w:r>
        <w:rPr>
          <w:rStyle w:val="73"/>
          <w:rFonts w:hint="eastAsia" w:ascii="仿宋_GB2312" w:hAnsi="宋体" w:cs="宋体"/>
          <w:b/>
          <w:sz w:val="28"/>
          <w:szCs w:val="28"/>
        </w:rPr>
        <w:t>第五章  应提交的有关格式范例</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_Toc75962263 \h </w:instrText>
      </w:r>
      <w:r>
        <w:rPr>
          <w:rFonts w:hint="eastAsia" w:ascii="仿宋_GB2312"/>
          <w:b/>
          <w:sz w:val="28"/>
          <w:szCs w:val="28"/>
        </w:rPr>
        <w:fldChar w:fldCharType="separate"/>
      </w:r>
      <w:r>
        <w:rPr>
          <w:rFonts w:hint="eastAsia" w:ascii="仿宋_GB2312"/>
          <w:b/>
          <w:sz w:val="28"/>
          <w:szCs w:val="28"/>
        </w:rPr>
        <w:t>19</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"_Toc75962264" </w:instrText>
      </w:r>
      <w:r>
        <w:fldChar w:fldCharType="separate"/>
      </w:r>
      <w:r>
        <w:rPr>
          <w:rStyle w:val="73"/>
          <w:rFonts w:hint="eastAsia" w:ascii="仿宋_GB2312" w:cs="宋体"/>
          <w:b/>
          <w:bCs/>
          <w:sz w:val="28"/>
          <w:szCs w:val="28"/>
          <w:lang w:val="zh-CN"/>
        </w:rPr>
        <w:t>第六章</w:t>
      </w:r>
      <w:r>
        <w:rPr>
          <w:rStyle w:val="73"/>
          <w:rFonts w:hint="eastAsia" w:ascii="仿宋_GB2312"/>
          <w:b/>
          <w:bCs/>
          <w:sz w:val="28"/>
          <w:szCs w:val="28"/>
        </w:rPr>
        <w:t xml:space="preserve">  </w:t>
      </w:r>
      <w:r>
        <w:rPr>
          <w:rStyle w:val="73"/>
          <w:rFonts w:hint="eastAsia" w:ascii="仿宋_GB2312" w:cs="宋体"/>
          <w:b/>
          <w:bCs/>
          <w:sz w:val="28"/>
          <w:szCs w:val="28"/>
          <w:lang w:val="zh-CN"/>
        </w:rPr>
        <w:t>评标办法及开标程序</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_Toc75962264 \h </w:instrText>
      </w:r>
      <w:r>
        <w:rPr>
          <w:rFonts w:hint="eastAsia" w:ascii="仿宋_GB2312"/>
          <w:b/>
          <w:sz w:val="28"/>
          <w:szCs w:val="28"/>
        </w:rPr>
        <w:fldChar w:fldCharType="separate"/>
      </w:r>
      <w:r>
        <w:rPr>
          <w:rFonts w:hint="eastAsia" w:ascii="仿宋_GB2312"/>
          <w:b/>
          <w:sz w:val="28"/>
          <w:szCs w:val="28"/>
        </w:rPr>
        <w:t>25</w:t>
      </w:r>
      <w:r>
        <w:rPr>
          <w:rFonts w:hint="eastAsia" w:ascii="仿宋_GB2312"/>
          <w:b/>
          <w:sz w:val="28"/>
          <w:szCs w:val="28"/>
        </w:rPr>
        <w:fldChar w:fldCharType="end"/>
      </w:r>
      <w:r>
        <w:rPr>
          <w:rFonts w:hint="eastAsia" w:ascii="仿宋_GB2312"/>
          <w:b/>
          <w:sz w:val="28"/>
          <w:szCs w:val="28"/>
        </w:rPr>
        <w:fldChar w:fldCharType="end"/>
      </w:r>
    </w:p>
    <w:p>
      <w:pPr>
        <w:pStyle w:val="301"/>
        <w:snapToGrid w:val="0"/>
        <w:spacing w:line="480" w:lineRule="exact"/>
        <w:ind w:left="1440" w:firstLine="2108" w:firstLineChars="750"/>
        <w:outlineLvl w:val="0"/>
        <w:rPr>
          <w:rFonts w:ascii="仿宋_GB2312" w:hAnsi="宋体" w:eastAsia="仿宋_GB2312" w:cs="宋体"/>
          <w:b/>
          <w:sz w:val="28"/>
          <w:szCs w:val="28"/>
        </w:rPr>
      </w:pPr>
      <w:r>
        <w:rPr>
          <w:rFonts w:hint="eastAsia" w:ascii="仿宋_GB2312" w:hAnsi="仿宋" w:eastAsia="仿宋_GB2312" w:cs="宋体"/>
          <w:b/>
          <w:sz w:val="28"/>
          <w:szCs w:val="28"/>
        </w:rPr>
        <w:fldChar w:fldCharType="end"/>
      </w:r>
      <w:bookmarkEnd w:id="4"/>
      <w:bookmarkEnd w:id="5"/>
      <w:bookmarkEnd w:id="6"/>
      <w:bookmarkStart w:id="7" w:name="_Toc356371429"/>
      <w:bookmarkStart w:id="8" w:name="_Toc354491895"/>
      <w:r>
        <w:rPr>
          <w:rFonts w:ascii="仿宋_GB2312" w:hAnsi="宋体" w:eastAsia="仿宋_GB2312" w:cs="宋体"/>
          <w:sz w:val="28"/>
          <w:szCs w:val="28"/>
        </w:rPr>
        <w:br w:type="page"/>
      </w:r>
      <w:bookmarkEnd w:id="7"/>
      <w:bookmarkEnd w:id="8"/>
      <w:bookmarkStart w:id="9" w:name="_Toc476644682"/>
      <w:bookmarkStart w:id="10" w:name="_Toc75962245"/>
      <w:bookmarkStart w:id="11" w:name="_Toc322352982"/>
      <w:bookmarkStart w:id="12" w:name="_Toc354491896"/>
      <w:bookmarkStart w:id="13" w:name="_Toc356371430"/>
      <w:r>
        <w:rPr>
          <w:rFonts w:hint="eastAsia" w:ascii="仿宋_GB2312" w:hAnsi="宋体" w:eastAsia="仿宋_GB2312" w:cs="宋体"/>
          <w:b/>
          <w:sz w:val="28"/>
          <w:szCs w:val="28"/>
        </w:rPr>
        <w:t>第一章</w:t>
      </w:r>
      <w:r>
        <w:rPr>
          <w:rFonts w:hint="eastAsia" w:ascii="仿宋_GB2312" w:hAnsi="宋体" w:eastAsia="仿宋_GB2312" w:cs="宋体"/>
          <w:sz w:val="28"/>
          <w:szCs w:val="28"/>
        </w:rPr>
        <w:t xml:space="preserve">      </w:t>
      </w:r>
      <w:r>
        <w:rPr>
          <w:rFonts w:hint="eastAsia" w:ascii="仿宋_GB2312" w:hAnsi="宋体" w:eastAsia="仿宋_GB2312" w:cs="宋体"/>
          <w:b/>
          <w:sz w:val="28"/>
          <w:szCs w:val="28"/>
        </w:rPr>
        <w:t>招标公告</w:t>
      </w:r>
      <w:bookmarkEnd w:id="9"/>
      <w:bookmarkEnd w:id="10"/>
    </w:p>
    <w:p>
      <w:pPr>
        <w:pStyle w:val="301"/>
        <w:snapToGrid w:val="0"/>
        <w:spacing w:line="480" w:lineRule="exact"/>
        <w:ind w:left="1440" w:firstLine="2209" w:firstLineChars="500"/>
        <w:outlineLvl w:val="0"/>
        <w:rPr>
          <w:rFonts w:ascii="仿宋_GB2312" w:hAnsi="宋体" w:eastAsia="仿宋_GB2312" w:cs="宋体"/>
          <w:b/>
          <w:sz w:val="44"/>
          <w:szCs w:val="44"/>
        </w:rPr>
      </w:pPr>
    </w:p>
    <w:p>
      <w:pPr>
        <w:spacing w:line="600" w:lineRule="exact"/>
        <w:jc w:val="center"/>
        <w:rPr>
          <w:rFonts w:hint="eastAsia" w:ascii="仿宋_GB2312" w:hAnsi="仿宋_GB2312" w:eastAsia="仿宋_GB2312" w:cs="仿宋_GB2312"/>
          <w:b w:val="0"/>
          <w:bCs w:val="0"/>
          <w:sz w:val="28"/>
          <w:szCs w:val="28"/>
        </w:rPr>
      </w:pPr>
      <w:bookmarkStart w:id="14" w:name="_Toc75962246"/>
      <w:r>
        <w:rPr>
          <w:rFonts w:hint="eastAsia" w:ascii="仿宋_GB2312" w:hAnsi="仿宋_GB2312" w:eastAsia="仿宋_GB2312" w:cs="仿宋_GB2312"/>
          <w:sz w:val="28"/>
          <w:szCs w:val="28"/>
        </w:rPr>
        <w:t>2021年第2期衢州市政府性资金结算平台资金竞争性存</w:t>
      </w:r>
      <w:r>
        <w:rPr>
          <w:rFonts w:hint="eastAsia" w:ascii="仿宋_GB2312" w:hAnsi="仿宋_GB2312" w:eastAsia="仿宋_GB2312" w:cs="仿宋_GB2312"/>
          <w:b w:val="0"/>
          <w:bCs w:val="0"/>
          <w:sz w:val="28"/>
          <w:szCs w:val="28"/>
        </w:rPr>
        <w:t>放公告</w:t>
      </w:r>
      <w:bookmarkEnd w:id="14"/>
    </w:p>
    <w:p>
      <w:pPr>
        <w:spacing w:line="600" w:lineRule="exact"/>
        <w:rPr>
          <w:rFonts w:hint="eastAsia" w:ascii="仿宋_GB2312" w:hAnsi="仿宋_GB2312" w:eastAsia="仿宋_GB2312" w:cs="仿宋_GB2312"/>
          <w:b/>
          <w:sz w:val="28"/>
          <w:szCs w:val="28"/>
        </w:rPr>
      </w:pP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财政部关于进一步加强财政部门和预算单位资金存放管理的指导意见》（财库〔2017〕76号）、《浙江省财政厅关于印发浙江省财政专户资金存放管理实施办法的通知》（浙财预执〔2017〕86号）、《衢州市市级财政专户资金和行政事业单位公款存放管理实施办法》（衢财预执﹝2019﹞4号）等规定，衢州市政府采购中心受衢州市财政国库支付中心委托，就2021年第2期衢州市政府性资金结算平台资金竞争性存放进行公开招标，欢迎</w:t>
      </w:r>
      <w:r>
        <w:rPr>
          <w:rFonts w:hint="eastAsia" w:ascii="仿宋_GB2312" w:hAnsi="仿宋_GB2312" w:eastAsia="仿宋_GB2312" w:cs="仿宋_GB2312"/>
          <w:sz w:val="28"/>
          <w:szCs w:val="28"/>
          <w:shd w:val="clear" w:color="auto" w:fill="FFFFFF"/>
        </w:rPr>
        <w:t>符合条件的银行机构</w:t>
      </w:r>
      <w:r>
        <w:rPr>
          <w:rFonts w:hint="eastAsia" w:ascii="仿宋_GB2312" w:hAnsi="仿宋_GB2312" w:eastAsia="仿宋_GB2312" w:cs="仿宋_GB2312"/>
          <w:sz w:val="28"/>
          <w:szCs w:val="28"/>
        </w:rPr>
        <w:t>前来投标。</w:t>
      </w:r>
    </w:p>
    <w:p>
      <w:pPr>
        <w:numPr>
          <w:ilvl w:val="0"/>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、项目编号：QCGZ2021012</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项目名称：2021年第2期衢州市政府性资金结算平台资金竞争性存放</w:t>
      </w:r>
    </w:p>
    <w:tbl>
      <w:tblPr>
        <w:tblStyle w:val="59"/>
        <w:tblW w:w="10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202"/>
        <w:gridCol w:w="2047"/>
        <w:gridCol w:w="2048"/>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74"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2202"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内容</w:t>
            </w:r>
          </w:p>
        </w:tc>
        <w:tc>
          <w:tcPr>
            <w:tcW w:w="2047"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资金(万元)</w:t>
            </w:r>
          </w:p>
        </w:tc>
        <w:tc>
          <w:tcPr>
            <w:tcW w:w="2048"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w:t>
            </w:r>
          </w:p>
        </w:tc>
        <w:tc>
          <w:tcPr>
            <w:tcW w:w="3133" w:type="dxa"/>
            <w:tcBorders>
              <w:top w:val="single" w:color="auto" w:sz="4" w:space="0"/>
              <w:left w:val="single" w:color="auto" w:sz="4" w:space="0"/>
              <w:bottom w:val="single" w:color="auto" w:sz="4" w:space="0"/>
              <w:right w:val="single" w:color="auto" w:sz="4" w:space="0"/>
            </w:tcBorders>
          </w:tcPr>
          <w:p>
            <w:pPr>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2021年第2期衢州市政府性资金结算平台资金竞争性存放</w:t>
            </w:r>
          </w:p>
        </w:tc>
        <w:tc>
          <w:tcPr>
            <w:tcW w:w="2047"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人民币97500</w:t>
            </w:r>
          </w:p>
        </w:tc>
        <w:tc>
          <w:tcPr>
            <w:tcW w:w="2048"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衢州市财政国库支付中心</w:t>
            </w:r>
          </w:p>
        </w:tc>
        <w:tc>
          <w:tcPr>
            <w:tcW w:w="31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一年期97500万元；</w:t>
            </w:r>
          </w:p>
        </w:tc>
      </w:tr>
    </w:tbl>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详细技术要求见招标文件第三章。</w:t>
      </w:r>
    </w:p>
    <w:p>
      <w:pPr>
        <w:numPr>
          <w:ilvl w:val="0"/>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、投标人资格要求:</w:t>
      </w:r>
    </w:p>
    <w:p>
      <w:pPr>
        <w:numPr>
          <w:ilvl w:val="1"/>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在衢州市区设立机构（或分支机构）的国有商业银行、股份制商业银行、邮政储蓄银行、城市商业银行、农村信用合作联社、农村商业银行、农村合作银行及政策性银行；每家银行有且只能有一个主体参与投标,且须为衢州市内级别最高机构（或分支机构）。</w:t>
      </w:r>
      <w:r>
        <w:rPr>
          <w:rFonts w:hint="eastAsia" w:ascii="仿宋_GB2312" w:hAnsi="仿宋_GB2312" w:eastAsia="仿宋_GB2312" w:cs="仿宋_GB2312"/>
          <w:sz w:val="28"/>
          <w:szCs w:val="28"/>
        </w:rPr>
        <w:t>分公司参与投标的，须提供总公司的授权书或者房屋产权证明或其他有效财产证明。</w:t>
      </w:r>
    </w:p>
    <w:p>
      <w:pPr>
        <w:numPr>
          <w:ilvl w:val="1"/>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依法开展经营活动，近3年内在经营活动中无重大违法违规记录，人民银行年度综合评价B等以上(2020年后在衢州开业的银行不作要求)</w:t>
      </w:r>
      <w:r>
        <w:rPr>
          <w:rFonts w:hint="eastAsia" w:ascii="仿宋_GB2312" w:hAnsi="仿宋_GB2312" w:eastAsia="仿宋_GB2312" w:cs="仿宋_GB2312"/>
          <w:sz w:val="28"/>
          <w:szCs w:val="28"/>
          <w:shd w:val="clear" w:color="auto" w:fill="FFFFFF"/>
          <w:lang w:eastAsia="zh-CN"/>
        </w:rPr>
        <w:t>。</w:t>
      </w:r>
    </w:p>
    <w:p>
      <w:pPr>
        <w:numPr>
          <w:ilvl w:val="1"/>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财务稳健，不良贷款率、拨备覆盖率、流动性覆盖率、流动性比例等指标达到监管标准</w:t>
      </w:r>
      <w:r>
        <w:rPr>
          <w:rFonts w:hint="eastAsia" w:ascii="仿宋_GB2312" w:hAnsi="仿宋_GB2312" w:eastAsia="仿宋_GB2312" w:cs="仿宋_GB2312"/>
          <w:sz w:val="28"/>
          <w:szCs w:val="28"/>
          <w:shd w:val="clear" w:color="auto" w:fill="FFFFFF"/>
          <w:lang w:eastAsia="zh-CN"/>
        </w:rPr>
        <w:t>。</w:t>
      </w:r>
    </w:p>
    <w:p>
      <w:pPr>
        <w:numPr>
          <w:ilvl w:val="1"/>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内部管理机制健全，具有较强的风险控制能力，近3年内未发生金融风险及重大违约事件</w:t>
      </w:r>
      <w:r>
        <w:rPr>
          <w:rFonts w:hint="eastAsia" w:ascii="仿宋_GB2312" w:hAnsi="仿宋_GB2312" w:eastAsia="仿宋_GB2312" w:cs="仿宋_GB2312"/>
          <w:sz w:val="28"/>
          <w:szCs w:val="28"/>
          <w:shd w:val="clear" w:color="auto" w:fill="FFFFFF"/>
          <w:lang w:eastAsia="zh-CN"/>
        </w:rPr>
        <w:t>。</w:t>
      </w:r>
    </w:p>
    <w:p>
      <w:pPr>
        <w:numPr>
          <w:ilvl w:val="1"/>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本项目谢绝联合体投标。</w:t>
      </w:r>
    </w:p>
    <w:p>
      <w:pPr>
        <w:numPr>
          <w:ilvl w:val="0"/>
          <w:numId w:val="13"/>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、报名及获取招标文件方式</w:t>
      </w:r>
    </w:p>
    <w:p>
      <w:pPr>
        <w:numPr>
          <w:ilvl w:val="0"/>
          <w:numId w:val="0"/>
        </w:numPr>
        <w:snapToGrid w:val="0"/>
        <w:spacing w:line="500" w:lineRule="exact"/>
        <w:ind w:left="567" w:left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6.本项目需通过政采云系统报名</w:t>
      </w:r>
      <w:bookmarkStart w:id="79" w:name="_GoBack"/>
      <w:bookmarkEnd w:id="79"/>
      <w:r>
        <w:rPr>
          <w:rFonts w:hint="eastAsia" w:ascii="仿宋_GB2312" w:hAnsi="仿宋_GB2312" w:eastAsia="仿宋_GB2312" w:cs="仿宋_GB2312"/>
          <w:b w:val="0"/>
          <w:bCs w:val="0"/>
          <w:sz w:val="28"/>
          <w:szCs w:val="28"/>
        </w:rPr>
        <w:t>，招标文件由投标人在浙江政府采购网（zfcg.czt.zj.gov.cn）或衢州市公共资源交易网（ggzy.qz.gov.cn），衢州市财政网（czj.qz.gov.cn） 免费下载。</w:t>
      </w:r>
    </w:p>
    <w:p>
      <w:pPr>
        <w:numPr>
          <w:ilvl w:val="0"/>
          <w:numId w:val="14"/>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、投标文件递交截止时间及开标时间：2021年7月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日9:30:00</w:t>
      </w:r>
    </w:p>
    <w:p>
      <w:pPr>
        <w:numPr>
          <w:ilvl w:val="0"/>
          <w:numId w:val="14"/>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p>
      <w:pPr>
        <w:pStyle w:val="54"/>
        <w:keepNext w:val="0"/>
        <w:keepLines w:val="0"/>
        <w:widowControl/>
        <w:suppressLineNumbers w:val="0"/>
        <w:spacing w:before="0" w:beforeAutospacing="0" w:after="0" w:afterAutospacing="0" w:line="300" w:lineRule="atLeast"/>
        <w:ind w:left="0" w:right="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本项目不收取投标保证金。</w:t>
      </w:r>
    </w:p>
    <w:p>
      <w:pPr>
        <w:numPr>
          <w:ilvl w:val="0"/>
          <w:numId w:val="14"/>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p>
      <w:pPr>
        <w:snapToGrid w:val="0"/>
        <w:spacing w:line="500" w:lineRule="exact"/>
        <w:ind w:left="56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招标人：衢州市财政国库支付中心</w:t>
      </w:r>
    </w:p>
    <w:p>
      <w:pPr>
        <w:pStyle w:val="301"/>
        <w:snapToGrid w:val="0"/>
        <w:spacing w:line="40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联系人：洪先生    联系电话：0570-3080859</w:t>
      </w:r>
    </w:p>
    <w:p>
      <w:pPr>
        <w:pStyle w:val="301"/>
        <w:spacing w:line="40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点：衢州市劳动路93号</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招标代理机构名称：衢州市政府采购中心</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项目联系人：金先生</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联系电话：0570-3893203</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真：0570-3890310</w:t>
      </w:r>
    </w:p>
    <w:p>
      <w:pPr>
        <w:tabs>
          <w:tab w:val="left" w:pos="0"/>
        </w:tabs>
        <w:autoSpaceDE w:val="0"/>
        <w:autoSpaceDN w:val="0"/>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地点：衢州市公共资源交易中心507室（衢州市西区花园东大道169号五楼）。</w:t>
      </w:r>
    </w:p>
    <w:p>
      <w:pPr>
        <w:snapToGrid w:val="0"/>
        <w:spacing w:line="50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衢州市政府采购中心</w:t>
      </w:r>
    </w:p>
    <w:p>
      <w:pPr>
        <w:snapToGrid w:val="0"/>
        <w:spacing w:line="50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2021年7月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w:t>
      </w:r>
    </w:p>
    <w:p>
      <w:pPr>
        <w:snapToGrid w:val="0"/>
        <w:spacing w:line="540" w:lineRule="exact"/>
        <w:jc w:val="center"/>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bookmarkStart w:id="15" w:name="_Toc75962247"/>
      <w:r>
        <w:rPr>
          <w:rFonts w:hint="eastAsia" w:ascii="仿宋_GB2312" w:hAnsi="仿宋_GB2312" w:eastAsia="仿宋_GB2312" w:cs="仿宋_GB2312"/>
          <w:b/>
          <w:sz w:val="28"/>
          <w:szCs w:val="28"/>
        </w:rPr>
        <w:t>第二章  投标</w:t>
      </w:r>
      <w:bookmarkEnd w:id="11"/>
      <w:bookmarkEnd w:id="12"/>
      <w:r>
        <w:rPr>
          <w:rFonts w:hint="eastAsia" w:ascii="仿宋_GB2312" w:hAnsi="仿宋_GB2312" w:eastAsia="仿宋_GB2312" w:cs="仿宋_GB2312"/>
          <w:b/>
          <w:sz w:val="28"/>
          <w:szCs w:val="28"/>
        </w:rPr>
        <w:t>须知前附表及投标须知</w:t>
      </w:r>
      <w:bookmarkEnd w:id="13"/>
      <w:bookmarkEnd w:id="15"/>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16" w:name="_Toc75962248"/>
      <w:bookmarkStart w:id="17" w:name="_Toc356371431"/>
      <w:r>
        <w:rPr>
          <w:rFonts w:hint="eastAsia" w:ascii="仿宋_GB2312" w:hAnsi="仿宋_GB2312" w:eastAsia="仿宋_GB2312" w:cs="仿宋_GB2312"/>
          <w:b/>
          <w:sz w:val="28"/>
          <w:szCs w:val="28"/>
        </w:rPr>
        <w:t>投标须知前附表</w:t>
      </w:r>
      <w:bookmarkEnd w:id="16"/>
      <w:bookmarkEnd w:id="17"/>
    </w:p>
    <w:tbl>
      <w:tblPr>
        <w:tblStyle w:val="5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29"/>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  容</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衢州市财政国库支付中心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5880" w:type="dxa"/>
            <w:vAlign w:val="center"/>
          </w:tcPr>
          <w:p>
            <w:pPr>
              <w:pStyle w:val="39"/>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2021年第2期衢州市政府性资金结算平台资金竞争性存放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人民币97500万元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629" w:type="dxa"/>
            <w:vAlign w:val="center"/>
          </w:tcPr>
          <w:p>
            <w:pPr>
              <w:pStyle w:val="31"/>
              <w:snapToGrid w:val="0"/>
              <w:spacing w:line="540" w:lineRule="exact"/>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投标文件递交截止时间及开标时间</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2021年7月2</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日9:30:00（北京时间）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629" w:type="dxa"/>
            <w:vAlign w:val="center"/>
          </w:tcPr>
          <w:p>
            <w:pPr>
              <w:pStyle w:val="31"/>
              <w:snapToGrid w:val="0"/>
              <w:spacing w:line="540" w:lineRule="exact"/>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联合体投标</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金先生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联系电话（传真）</w:t>
            </w:r>
          </w:p>
        </w:tc>
        <w:tc>
          <w:tcPr>
            <w:tcW w:w="5880" w:type="dxa"/>
            <w:vAlign w:val="center"/>
          </w:tcPr>
          <w:p>
            <w:pPr>
              <w:pStyle w:val="31"/>
              <w:snapToGrid w:val="0"/>
              <w:spacing w:line="54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0570-3893203; 0570-3890310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招标公告，更正公告，中标公示发布网址</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zfcg.czt.zj.gov.cn</w:t>
            </w:r>
            <w:r>
              <w:rPr>
                <w:rStyle w:val="168"/>
                <w:rFonts w:hint="eastAsia" w:ascii="仿宋_GB2312" w:hAnsi="仿宋_GB2312" w:eastAsia="仿宋_GB2312" w:cs="仿宋_GB2312"/>
                <w:bCs/>
                <w:sz w:val="28"/>
                <w:szCs w:val="28"/>
              </w:rPr>
              <w:t>（浙江省政府采购网）</w:t>
            </w:r>
          </w:p>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"http://www.qzft.gov.cn" </w:instrText>
            </w:r>
            <w:r>
              <w:rPr>
                <w:rFonts w:hint="eastAsia" w:ascii="仿宋_GB2312" w:hAnsi="仿宋_GB2312" w:eastAsia="仿宋_GB2312" w:cs="仿宋_GB2312"/>
                <w:sz w:val="28"/>
                <w:szCs w:val="28"/>
              </w:rPr>
              <w:fldChar w:fldCharType="separate"/>
            </w:r>
            <w:r>
              <w:rPr>
                <w:rStyle w:val="73"/>
                <w:rFonts w:hint="eastAsia" w:ascii="仿宋_GB2312" w:hAnsi="仿宋_GB2312" w:eastAsia="仿宋_GB2312" w:cs="仿宋_GB2312"/>
                <w:color w:val="auto"/>
                <w:sz w:val="28"/>
                <w:szCs w:val="28"/>
              </w:rPr>
              <w:t>czj.qz.gov.cn</w:t>
            </w:r>
            <w:r>
              <w:rPr>
                <w:rStyle w:val="73"/>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sz w:val="28"/>
                <w:szCs w:val="28"/>
              </w:rPr>
              <w:t>（衢州市财政局网）</w:t>
            </w:r>
          </w:p>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ggzy.qz.gov.cn（衢州市公共资源交易网）</w:t>
            </w:r>
          </w:p>
        </w:tc>
      </w:tr>
    </w:tbl>
    <w:p>
      <w:pPr>
        <w:spacing w:line="540" w:lineRule="exact"/>
        <w:jc w:val="center"/>
        <w:outlineLvl w:val="0"/>
        <w:rPr>
          <w:rFonts w:hint="eastAsia" w:ascii="仿宋_GB2312" w:hAnsi="仿宋_GB2312" w:eastAsia="仿宋_GB2312" w:cs="仿宋_GB2312"/>
          <w:b/>
          <w:sz w:val="28"/>
          <w:szCs w:val="28"/>
        </w:rPr>
      </w:pP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18" w:name="_Toc356371433"/>
      <w:bookmarkStart w:id="19" w:name="_Toc75962249"/>
      <w:r>
        <w:rPr>
          <w:rFonts w:hint="eastAsia" w:ascii="仿宋_GB2312" w:hAnsi="仿宋_GB2312" w:eastAsia="仿宋_GB2312" w:cs="仿宋_GB2312"/>
          <w:b/>
          <w:sz w:val="28"/>
          <w:szCs w:val="28"/>
        </w:rPr>
        <w:t>投标须知</w:t>
      </w:r>
      <w:bookmarkEnd w:id="18"/>
      <w:bookmarkEnd w:id="19"/>
    </w:p>
    <w:p>
      <w:pPr>
        <w:numPr>
          <w:ilvl w:val="1"/>
          <w:numId w:val="15"/>
        </w:numPr>
        <w:snapToGrid w:val="0"/>
        <w:spacing w:line="54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适用范围</w:t>
      </w:r>
    </w:p>
    <w:p>
      <w:pPr>
        <w:tabs>
          <w:tab w:val="left" w:pos="0"/>
          <w:tab w:val="left" w:pos="900"/>
          <w:tab w:val="left" w:pos="7020"/>
          <w:tab w:val="left" w:pos="8460"/>
        </w:tabs>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本招标文件仅适用于本次招标项目的招标、投标、评标、定标、验收、合同履约、付款等行为。</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定义</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“招标代理机构”系指组织本次招标的衢州市政府采购中心</w:t>
      </w:r>
      <w:r>
        <w:rPr>
          <w:rFonts w:hint="eastAsia" w:ascii="仿宋_GB2312" w:hAnsi="仿宋_GB2312" w:eastAsia="仿宋_GB2312" w:cs="仿宋_GB2312"/>
          <w:sz w:val="28"/>
          <w:szCs w:val="28"/>
          <w:lang w:eastAsia="zh-CN"/>
        </w:rPr>
        <w:t>；</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“招标人”系指提出本次招标的委托单位：衢州市财政国库支付中心</w:t>
      </w:r>
      <w:r>
        <w:rPr>
          <w:rFonts w:hint="eastAsia" w:ascii="仿宋_GB2312" w:hAnsi="仿宋_GB2312" w:eastAsia="仿宋_GB2312" w:cs="仿宋_GB2312"/>
          <w:sz w:val="28"/>
          <w:szCs w:val="28"/>
          <w:lang w:eastAsia="zh-CN"/>
        </w:rPr>
        <w:t>；</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“投标人”系指向招标代理机构提交投标文件的银行</w:t>
      </w:r>
      <w:r>
        <w:rPr>
          <w:rFonts w:hint="eastAsia" w:ascii="仿宋_GB2312" w:hAnsi="仿宋_GB2312" w:eastAsia="仿宋_GB2312" w:cs="仿宋_GB2312"/>
          <w:sz w:val="28"/>
          <w:szCs w:val="28"/>
          <w:lang w:eastAsia="zh-CN"/>
        </w:rPr>
        <w:t>；</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“▲”系指实质性要求条款。</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投标费用</w:t>
      </w:r>
    </w:p>
    <w:p>
      <w:pPr>
        <w:tabs>
          <w:tab w:val="left" w:pos="0"/>
          <w:tab w:val="left" w:pos="900"/>
          <w:tab w:val="left" w:pos="7020"/>
          <w:tab w:val="left" w:pos="8460"/>
        </w:tabs>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不论投标结果如何，投标人均应自行承担所有与投标有关的全部费用。</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招标方式</w:t>
      </w:r>
    </w:p>
    <w:p>
      <w:pPr>
        <w:snapToGrid w:val="0"/>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本次招标采用公开招标方式进行。</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p>
      <w:pPr>
        <w:snapToGrid w:val="0"/>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w:t>
      </w:r>
    </w:p>
    <w:p>
      <w:pPr>
        <w:numPr>
          <w:ilvl w:val="1"/>
          <w:numId w:val="15"/>
        </w:numPr>
        <w:snapToGrid w:val="0"/>
        <w:spacing w:line="5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转包与分包</w:t>
      </w:r>
    </w:p>
    <w:p>
      <w:pPr>
        <w:snapToGrid w:val="0"/>
        <w:spacing w:line="5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本项目不允许转包。分包须经招标人书面同意后方可实施。</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20" w:name="_Toc356371434"/>
      <w:bookmarkStart w:id="21" w:name="_Toc75962250"/>
      <w:r>
        <w:rPr>
          <w:rFonts w:hint="eastAsia" w:ascii="仿宋_GB2312" w:hAnsi="仿宋_GB2312" w:eastAsia="仿宋_GB2312" w:cs="仿宋_GB2312"/>
          <w:b/>
          <w:sz w:val="28"/>
          <w:szCs w:val="28"/>
        </w:rPr>
        <w:t>招标文件说明</w:t>
      </w:r>
      <w:bookmarkEnd w:id="20"/>
      <w:bookmarkEnd w:id="21"/>
    </w:p>
    <w:p>
      <w:pPr>
        <w:numPr>
          <w:ilvl w:val="1"/>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招标文件的组成</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投标须知前附表及投标须知；</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招标内容及要求；</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合同文本；</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应提交的有关格式范例；</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评标办法及开标程序。</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22" w:name="_Toc75962251"/>
      <w:bookmarkStart w:id="23" w:name="_Toc356371435"/>
      <w:r>
        <w:rPr>
          <w:rFonts w:hint="eastAsia" w:ascii="仿宋_GB2312" w:hAnsi="仿宋_GB2312" w:eastAsia="仿宋_GB2312" w:cs="仿宋_GB2312"/>
          <w:b/>
          <w:sz w:val="28"/>
          <w:szCs w:val="28"/>
        </w:rPr>
        <w:t>投标文件的编制</w:t>
      </w:r>
      <w:bookmarkEnd w:id="22"/>
      <w:bookmarkEnd w:id="23"/>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总体要求</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仿宋_GB2312" w:eastAsia="仿宋_GB2312" w:cs="仿宋_GB2312"/>
          <w:kern w:val="0"/>
          <w:sz w:val="28"/>
          <w:szCs w:val="28"/>
        </w:rPr>
        <w:t>，否则，投标文件可能视为无效投标文件</w:t>
      </w:r>
      <w:r>
        <w:rPr>
          <w:rFonts w:hint="eastAsia" w:ascii="仿宋_GB2312" w:hAnsi="仿宋_GB2312" w:eastAsia="仿宋_GB2312" w:cs="仿宋_GB2312"/>
          <w:kern w:val="0"/>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投标文件及投标人与招标有关的来往通知，函件和文件均应使用中文</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电子投标文件组成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sz w:val="28"/>
          <w:szCs w:val="28"/>
        </w:rPr>
        <w:t xml:space="preserve"> </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▲投标函；</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▲有效的投标人《企业法人营业执照》扫描件；</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▲分公司参与投标的，须提供总公司的授权书或者房屋产权证明或其他有效财产证明扫描件</w:t>
      </w:r>
      <w:r>
        <w:rPr>
          <w:rFonts w:hint="eastAsia" w:ascii="仿宋_GB2312" w:hAnsi="仿宋_GB2312" w:eastAsia="仿宋_GB2312" w:cs="仿宋_GB2312"/>
          <w:sz w:val="28"/>
          <w:szCs w:val="28"/>
          <w:lang w:eastAsia="zh-CN"/>
        </w:rPr>
        <w:t>；</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▲法人（负责人）授权委托书扫描件； </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▲法定代表人（负责人）或法定代表人（负责人）授权代表身份证扫描件；</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▲金融许可证扫描件；</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廉政承诺书</w:t>
      </w:r>
      <w:r>
        <w:rPr>
          <w:rFonts w:hint="eastAsia" w:ascii="仿宋_GB2312" w:hAnsi="仿宋_GB2312" w:eastAsia="仿宋_GB2312" w:cs="仿宋_GB2312"/>
          <w:sz w:val="28"/>
          <w:szCs w:val="28"/>
          <w:lang w:eastAsia="zh-CN"/>
        </w:rPr>
        <w:t>；</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中标承诺书</w:t>
      </w:r>
      <w:r>
        <w:rPr>
          <w:rFonts w:hint="eastAsia" w:ascii="仿宋_GB2312" w:hAnsi="仿宋_GB2312" w:eastAsia="仿宋_GB2312" w:cs="仿宋_GB2312"/>
          <w:bCs/>
          <w:sz w:val="28"/>
          <w:szCs w:val="28"/>
          <w:lang w:eastAsia="zh-CN"/>
        </w:rPr>
        <w:t>；</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▲一年期存款报价一览表；  </w:t>
      </w:r>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投标文件内容填写说明 </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认真阅读招标文件所有内容的基础上，按照招标文件的要求编制完整的投标文件。投标文件应按照招标文件中规定的统一格式填写，混乱的编排导致投标文件被误读或招标人查找不到有效文件是投标人的风险。投标人必须保证投标文件所提供的全部资料真实可靠，并接受招标人对其中任何资料进一步审查的要求</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《报价一览表》要求按格式填写、统一规范，不得自行增减内容</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投标文件不得涂改和增删，如有错漏必须修改，修改处须由授权代表签字或盖章</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由于字迹模糊或表达不清引起的后果由投标人负责。</w:t>
      </w:r>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投标报价应按招标文件中相关附表格式填写</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投标文件只允许有一个报价，有选择的或有条件的报价将不予接受</w:t>
      </w:r>
      <w:r>
        <w:rPr>
          <w:rFonts w:hint="eastAsia" w:ascii="仿宋_GB2312" w:hAnsi="仿宋_GB2312" w:eastAsia="仿宋_GB2312" w:cs="仿宋_GB2312"/>
          <w:sz w:val="28"/>
          <w:szCs w:val="28"/>
          <w:lang w:eastAsia="zh-CN"/>
        </w:rPr>
        <w:t>。</w:t>
      </w:r>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▲投标文件从投标文件递交截止之日起，有效期为90天</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24" w:name="_Toc356371436"/>
      <w:bookmarkStart w:id="25" w:name="_Toc75962252"/>
      <w:r>
        <w:rPr>
          <w:rFonts w:hint="eastAsia" w:ascii="仿宋_GB2312" w:hAnsi="仿宋_GB2312" w:eastAsia="仿宋_GB2312" w:cs="仿宋_GB2312"/>
          <w:b/>
          <w:sz w:val="28"/>
          <w:szCs w:val="28"/>
        </w:rPr>
        <w:t>投标保证金</w:t>
      </w:r>
      <w:bookmarkEnd w:id="24"/>
      <w:bookmarkEnd w:id="25"/>
    </w:p>
    <w:p>
      <w:pPr>
        <w:snapToGrid w:val="0"/>
        <w:spacing w:beforeLines="50" w:afterLines="50" w:line="540" w:lineRule="exact"/>
        <w:ind w:left="567"/>
        <w:outlineLvl w:val="1"/>
        <w:rPr>
          <w:rFonts w:hint="eastAsia" w:ascii="仿宋_GB2312" w:hAnsi="仿宋_GB2312" w:eastAsia="仿宋_GB2312" w:cs="仿宋_GB2312"/>
          <w:sz w:val="28"/>
          <w:szCs w:val="28"/>
        </w:rPr>
      </w:pPr>
      <w:bookmarkStart w:id="26" w:name="_Toc75962253"/>
      <w:bookmarkStart w:id="27" w:name="_Toc24708470"/>
      <w:r>
        <w:rPr>
          <w:rFonts w:hint="eastAsia" w:ascii="仿宋_GB2312" w:hAnsi="仿宋_GB2312" w:eastAsia="仿宋_GB2312" w:cs="仿宋_GB2312"/>
          <w:sz w:val="28"/>
          <w:szCs w:val="28"/>
        </w:rPr>
        <w:t>本项目不收取投标保证金。</w:t>
      </w:r>
      <w:bookmarkEnd w:id="26"/>
      <w:bookmarkEnd w:id="27"/>
    </w:p>
    <w:p>
      <w:pPr>
        <w:numPr>
          <w:ilvl w:val="0"/>
          <w:numId w:val="15"/>
        </w:numPr>
        <w:snapToGrid w:val="0"/>
        <w:spacing w:beforeLines="50" w:afterLines="50" w:line="500" w:lineRule="exact"/>
        <w:ind w:left="425"/>
        <w:outlineLvl w:val="1"/>
        <w:rPr>
          <w:rFonts w:hint="eastAsia" w:ascii="仿宋_GB2312" w:hAnsi="仿宋_GB2312" w:eastAsia="仿宋_GB2312" w:cs="仿宋_GB2312"/>
          <w:b/>
          <w:sz w:val="28"/>
          <w:szCs w:val="28"/>
        </w:rPr>
      </w:pPr>
      <w:bookmarkStart w:id="28" w:name="_Toc476644689"/>
      <w:bookmarkStart w:id="29" w:name="_Toc75962254"/>
      <w:r>
        <w:rPr>
          <w:rFonts w:hint="eastAsia" w:ascii="仿宋_GB2312" w:hAnsi="仿宋_GB2312" w:eastAsia="仿宋_GB2312" w:cs="仿宋_GB2312"/>
          <w:b/>
          <w:sz w:val="28"/>
          <w:szCs w:val="28"/>
        </w:rPr>
        <w:t>投标</w:t>
      </w:r>
      <w:bookmarkEnd w:id="28"/>
      <w:r>
        <w:rPr>
          <w:rFonts w:hint="eastAsia" w:ascii="仿宋_GB2312" w:hAnsi="仿宋_GB2312" w:eastAsia="仿宋_GB2312" w:cs="仿宋_GB2312"/>
          <w:b/>
          <w:sz w:val="28"/>
          <w:szCs w:val="28"/>
        </w:rPr>
        <w:t>说明</w:t>
      </w:r>
      <w:bookmarkEnd w:id="29"/>
    </w:p>
    <w:p>
      <w:pPr>
        <w:numPr>
          <w:ilvl w:val="1"/>
          <w:numId w:val="18"/>
        </w:numPr>
        <w:wordWrap w:val="0"/>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实行电子投标，不接受纸质投标文件，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1"/>
          <w:numId w:val="18"/>
        </w:numPr>
        <w:wordWrap w:val="0"/>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numPr>
          <w:ilvl w:val="1"/>
          <w:numId w:val="18"/>
        </w:numPr>
        <w:wordWrap w:val="0"/>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通过政采云平台电子投标工具制作投标文件，电子投标工具请供应商自行前往浙江省政府采购网下载并安装，（下载网址：http://zfcg.czt.zj.gov.cn/bidClientTemplate/2019-05-27/12946.html），电子投标具体流程文档详见网址：</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"https://service.zcygov.cn/" \l "/knowledges/CW1EtGwBFdiHxlNd6I3m/6IMVAG0BFdiHxlNdQ8Na" </w:instrText>
      </w:r>
      <w:r>
        <w:rPr>
          <w:rFonts w:hint="eastAsia" w:ascii="仿宋_GB2312" w:hAnsi="仿宋_GB2312" w:eastAsia="仿宋_GB2312" w:cs="仿宋_GB2312"/>
          <w:sz w:val="28"/>
          <w:szCs w:val="28"/>
        </w:rPr>
        <w:fldChar w:fldCharType="separate"/>
      </w:r>
      <w:r>
        <w:rPr>
          <w:rStyle w:val="73"/>
          <w:rFonts w:hint="eastAsia" w:ascii="仿宋_GB2312" w:hAnsi="仿宋_GB2312" w:eastAsia="仿宋_GB2312" w:cs="仿宋_GB2312"/>
          <w:bCs/>
          <w:color w:val="auto"/>
          <w:sz w:val="28"/>
          <w:szCs w:val="28"/>
          <w:u w:val="none"/>
        </w:rPr>
        <w:t>https://service.zcygov.cn/#/knowledges/CW1EtGwBFdiHxlNd6I3m/6IMVAG0BFdiHxlNdQ8Na</w:t>
      </w:r>
      <w:r>
        <w:rPr>
          <w:rStyle w:val="73"/>
          <w:rFonts w:hint="eastAsia" w:ascii="仿宋_GB2312" w:hAnsi="仿宋_GB2312" w:eastAsia="仿宋_GB2312" w:cs="仿宋_GB2312"/>
          <w:bCs/>
          <w:color w:val="auto"/>
          <w:sz w:val="28"/>
          <w:szCs w:val="28"/>
          <w:u w:val="none"/>
        </w:rPr>
        <w:fldChar w:fldCharType="end"/>
      </w:r>
      <w:r>
        <w:rPr>
          <w:rFonts w:hint="eastAsia" w:ascii="仿宋_GB2312" w:hAnsi="仿宋_GB2312" w:eastAsia="仿宋_GB2312" w:cs="仿宋_GB2312"/>
          <w:bCs/>
          <w:sz w:val="28"/>
          <w:szCs w:val="28"/>
        </w:rPr>
        <w:t>，投标人须在政采云平台注册账号登录后查看内容</w:t>
      </w:r>
      <w:r>
        <w:rPr>
          <w:rFonts w:hint="eastAsia" w:ascii="仿宋_GB2312" w:hAnsi="仿宋_GB2312" w:eastAsia="仿宋_GB2312" w:cs="仿宋_GB2312"/>
          <w:sz w:val="28"/>
          <w:szCs w:val="28"/>
        </w:rPr>
        <w:t>。</w:t>
      </w:r>
    </w:p>
    <w:p>
      <w:pPr>
        <w:numPr>
          <w:ilvl w:val="1"/>
          <w:numId w:val="18"/>
        </w:numPr>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1"/>
          <w:numId w:val="18"/>
        </w:numPr>
        <w:wordWrap w:val="0"/>
        <w:snapToGrid w:val="0"/>
        <w:spacing w:before="120" w:after="120"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投标人无需到现场投标，</w:t>
      </w:r>
      <w:r>
        <w:rPr>
          <w:rFonts w:hint="eastAsia" w:ascii="仿宋_GB2312" w:hAnsi="仿宋_GB2312" w:eastAsia="仿宋_GB2312" w:cs="仿宋_GB2312"/>
          <w:bCs/>
          <w:sz w:val="28"/>
          <w:szCs w:val="28"/>
        </w:rPr>
        <w:t>但须准时在线参加，直至评审结束</w:t>
      </w:r>
      <w:r>
        <w:rPr>
          <w:rFonts w:hint="eastAsia" w:ascii="仿宋_GB2312" w:hAnsi="仿宋_GB2312" w:eastAsia="仿宋_GB2312" w:cs="仿宋_GB2312"/>
          <w:bCs/>
          <w:sz w:val="28"/>
          <w:szCs w:val="28"/>
          <w:lang w:eastAsia="zh-CN"/>
        </w:rPr>
        <w:t>。</w:t>
      </w:r>
    </w:p>
    <w:p>
      <w:pPr>
        <w:numPr>
          <w:ilvl w:val="1"/>
          <w:numId w:val="18"/>
        </w:numPr>
        <w:wordWrap w:val="0"/>
        <w:snapToGrid w:val="0"/>
        <w:spacing w:before="120" w:after="120"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实质上没有响应本文件要求的投标文件将被拒绝。投标人不得通过修正或撤销不合要求的偏离或保留从而使其投标文件成为实质上响应的文件。</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30" w:name="_Toc356371438"/>
      <w:bookmarkStart w:id="31" w:name="_Toc75962255"/>
      <w:r>
        <w:rPr>
          <w:rFonts w:hint="eastAsia" w:ascii="仿宋_GB2312" w:hAnsi="仿宋_GB2312" w:eastAsia="仿宋_GB2312" w:cs="仿宋_GB2312"/>
          <w:b/>
          <w:sz w:val="28"/>
          <w:szCs w:val="28"/>
        </w:rPr>
        <w:t>投标无效的情形</w:t>
      </w:r>
      <w:bookmarkEnd w:id="30"/>
      <w:bookmarkEnd w:id="31"/>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bookmarkStart w:id="32" w:name="_Toc356371439"/>
      <w:r>
        <w:rPr>
          <w:rFonts w:hint="eastAsia" w:ascii="仿宋_GB2312" w:hAnsi="仿宋_GB2312" w:eastAsia="仿宋_GB2312" w:cs="仿宋_GB2312"/>
          <w:sz w:val="28"/>
          <w:szCs w:val="28"/>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不具备招标文件规定资格要求；</w:t>
      </w:r>
    </w:p>
    <w:p>
      <w:pPr>
        <w:numPr>
          <w:ilvl w:val="2"/>
          <w:numId w:val="19"/>
        </w:numPr>
        <w:snapToGrid w:val="0"/>
        <w:spacing w:line="540" w:lineRule="exact"/>
        <w:ind w:left="0" w:leftChars="0" w:firstLine="567" w:firstLineChars="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电子投标文件中须加盖公章部分未采用CA签章或盖公章的</w:t>
      </w:r>
      <w:r>
        <w:rPr>
          <w:rFonts w:hint="eastAsia" w:ascii="仿宋_GB2312" w:hAnsi="仿宋_GB2312" w:eastAsia="仿宋_GB2312" w:cs="仿宋_GB2312"/>
          <w:sz w:val="28"/>
          <w:szCs w:val="28"/>
          <w:lang w:eastAsia="zh-CN"/>
        </w:rPr>
        <w:t>；</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招标文件中有▲处条款投标人未作实质性响应的；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资金综合收益率报价低于一年期定期存款基准利率上浮</w:t>
      </w:r>
      <w:r>
        <w:rPr>
          <w:rFonts w:hint="eastAsia" w:ascii="仿宋_GB2312" w:hAnsi="仿宋_GB2312" w:eastAsia="仿宋_GB2312" w:cs="仿宋_GB2312"/>
          <w:color w:val="FF0000"/>
          <w:sz w:val="28"/>
          <w:szCs w:val="28"/>
        </w:rPr>
        <w:t>40</w:t>
      </w:r>
      <w:r>
        <w:rPr>
          <w:rFonts w:hint="eastAsia" w:ascii="仿宋_GB2312" w:hAnsi="仿宋_GB2312" w:eastAsia="仿宋_GB2312" w:cs="仿宋_GB2312"/>
          <w:sz w:val="28"/>
          <w:szCs w:val="28"/>
        </w:rPr>
        <w:t>个基点的；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未按协议规定配合办理提前支取手续并结清相关利息的；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投标文件关键内容字迹模糊、无法辨认的；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投标文件含有招标人不能接受的附件条件的；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提供虚假材料谋取中标的；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投标人串通投标的；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不符合法律、法规和招标文件规定的其他实质性要求的。</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33" w:name="_Toc75962256"/>
      <w:bookmarkStart w:id="34" w:name="_Toc359592368"/>
      <w:r>
        <w:rPr>
          <w:rFonts w:hint="eastAsia" w:ascii="仿宋_GB2312" w:hAnsi="仿宋_GB2312" w:eastAsia="仿宋_GB2312" w:cs="仿宋_GB2312"/>
          <w:b/>
          <w:bCs/>
          <w:sz w:val="28"/>
          <w:szCs w:val="28"/>
        </w:rPr>
        <w:t>串通投标的情形</w:t>
      </w:r>
      <w:bookmarkEnd w:id="33"/>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不同</w:t>
      </w:r>
      <w:r>
        <w:rPr>
          <w:rFonts w:hint="eastAsia" w:ascii="仿宋_GB2312" w:hAnsi="仿宋_GB2312" w:eastAsia="仿宋_GB2312" w:cs="仿宋_GB2312"/>
          <w:bCs/>
          <w:sz w:val="28"/>
          <w:szCs w:val="28"/>
        </w:rPr>
        <w:t>投标人的投标文件由同一单位或者个人编制；</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不同投标人委托同一单位或者个人办理投标事宜；</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不同投标人的投标文件载明的项目管理成员或者联系人员为同一人；</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不同投标人的投标文件异常一致或者投标报价呈规律性差异；</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rPr>
        <w:t>不同投标人的投标文件相互混装</w:t>
      </w:r>
      <w:r>
        <w:rPr>
          <w:rFonts w:hint="eastAsia" w:ascii="仿宋_GB2312" w:hAnsi="仿宋_GB2312" w:eastAsia="仿宋_GB2312" w:cs="仿宋_GB2312"/>
          <w:bCs/>
          <w:sz w:val="28"/>
          <w:szCs w:val="28"/>
          <w:lang w:eastAsia="zh-CN"/>
        </w:rPr>
        <w:t>。</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35" w:name="_Toc75962257"/>
      <w:r>
        <w:rPr>
          <w:rFonts w:hint="eastAsia" w:ascii="仿宋_GB2312" w:hAnsi="仿宋_GB2312" w:eastAsia="仿宋_GB2312" w:cs="仿宋_GB2312"/>
          <w:b/>
          <w:sz w:val="28"/>
          <w:szCs w:val="28"/>
        </w:rPr>
        <w:t>废标的情形</w:t>
      </w:r>
      <w:bookmarkEnd w:id="34"/>
      <w:bookmarkEnd w:id="35"/>
    </w:p>
    <w:p>
      <w:pPr>
        <w:numPr>
          <w:ilvl w:val="1"/>
          <w:numId w:val="20"/>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招标中，出现下列情形之一的，应予废标，废标后，招标人将废标理由通知所有投标人：</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符合专业条件的投标人或对招标文件作实质性响应的投标人不足三家的；</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出现影响招标公正的违法、违规行为的；</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因重大变故，招标任务取消的</w:t>
      </w:r>
      <w:r>
        <w:rPr>
          <w:rFonts w:hint="eastAsia" w:ascii="仿宋_GB2312" w:hAnsi="仿宋_GB2312" w:eastAsia="仿宋_GB2312" w:cs="仿宋_GB2312"/>
          <w:sz w:val="28"/>
          <w:szCs w:val="28"/>
          <w:lang w:eastAsia="zh-CN"/>
        </w:rPr>
        <w:t>。</w:t>
      </w:r>
    </w:p>
    <w:bookmarkEnd w:id="32"/>
    <w:p>
      <w:pPr>
        <w:numPr>
          <w:ilvl w:val="0"/>
          <w:numId w:val="21"/>
        </w:numPr>
        <w:snapToGrid w:val="0"/>
        <w:spacing w:beforeLines="50" w:afterLines="50" w:line="500" w:lineRule="exact"/>
        <w:outlineLvl w:val="1"/>
        <w:rPr>
          <w:rFonts w:hint="eastAsia" w:ascii="仿宋_GB2312" w:hAnsi="仿宋_GB2312" w:eastAsia="仿宋_GB2312" w:cs="仿宋_GB2312"/>
          <w:b/>
          <w:sz w:val="28"/>
          <w:szCs w:val="28"/>
        </w:rPr>
      </w:pPr>
      <w:bookmarkStart w:id="36" w:name="_Toc476644693"/>
      <w:bookmarkStart w:id="37" w:name="_Toc75962258"/>
      <w:bookmarkStart w:id="38" w:name="_Toc356371440"/>
      <w:r>
        <w:rPr>
          <w:rFonts w:hint="eastAsia" w:ascii="仿宋_GB2312" w:hAnsi="仿宋_GB2312" w:eastAsia="仿宋_GB2312" w:cs="仿宋_GB2312"/>
          <w:b/>
          <w:sz w:val="28"/>
          <w:szCs w:val="28"/>
        </w:rPr>
        <w:t>开标和评标</w:t>
      </w:r>
      <w:bookmarkEnd w:id="36"/>
      <w:bookmarkEnd w:id="37"/>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开标</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招标人在规定的日期、时间和地点组织招标会</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电子投标文件开标</w:t>
      </w:r>
      <w:r>
        <w:rPr>
          <w:rFonts w:hint="eastAsia" w:ascii="仿宋_GB2312" w:hAnsi="仿宋_GB2312" w:eastAsia="仿宋_GB2312" w:cs="仿宋_GB2312"/>
          <w:bCs/>
          <w:sz w:val="28"/>
          <w:szCs w:val="28"/>
          <w:lang w:eastAsia="zh-CN"/>
        </w:rPr>
        <w:t>；</w:t>
      </w:r>
    </w:p>
    <w:p>
      <w:pPr>
        <w:numPr>
          <w:ilvl w:val="0"/>
          <w:numId w:val="0"/>
        </w:numPr>
        <w:snapToGrid w:val="0"/>
        <w:spacing w:line="500" w:lineRule="exact"/>
        <w:ind w:left="567" w:left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val="en-US" w:eastAsia="zh-CN"/>
        </w:rPr>
        <w:t>21.3</w:t>
      </w:r>
      <w:r>
        <w:rPr>
          <w:rFonts w:hint="eastAsia" w:ascii="仿宋_GB2312" w:hAnsi="仿宋_GB2312" w:eastAsia="仿宋_GB2312" w:cs="仿宋_GB2312"/>
          <w:bCs/>
          <w:sz w:val="28"/>
          <w:szCs w:val="28"/>
        </w:rPr>
        <w:t>投标截止时间后，投标人登录政采云平台，用“项目采购-开标评标”功能对电子投标文件进行在线解密。在线解密电子投标文件时间为开标时间起半个小时内。</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采购代理机构和采购人将根据采购货物的特点组建评标委员会,其成员由技术、经济等方面的专家和采购人代表组成。评标委员会对投标文件进行审查、询标、评议和推荐中标候选人</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在评标期间,若有需要投标人应派代表参加询标</w:t>
      </w:r>
      <w:r>
        <w:rPr>
          <w:rFonts w:hint="eastAsia" w:ascii="仿宋_GB2312" w:hAnsi="仿宋_GB2312" w:eastAsia="仿宋_GB2312" w:cs="仿宋_GB2312"/>
          <w:sz w:val="28"/>
          <w:szCs w:val="28"/>
          <w:lang w:eastAsia="zh-CN"/>
        </w:rPr>
        <w:t>；</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对投标文件的审查和响应性的确定</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评标委员会将审查投标文件是否真实、完整,总体编排是否有序,文件签署是否正确,有无计算上的错误等</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算术错误将按以下方法更正:</w:t>
      </w:r>
      <w:r>
        <w:rPr>
          <w:rFonts w:hint="eastAsia" w:ascii="仿宋_GB2312" w:hAnsi="仿宋_GB2312" w:eastAsia="仿宋_GB2312" w:cs="仿宋_GB2312"/>
          <w:bCs/>
          <w:sz w:val="28"/>
          <w:szCs w:val="28"/>
        </w:rPr>
        <w:t xml:space="preserve"> </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（1）开标时，投标文件中开标一览表（报价表）内容与投标文件中明细表内容不一致的，以开标一览表（报价表）为准；</w:t>
      </w:r>
    </w:p>
    <w:p>
      <w:pPr>
        <w:snapToGrid w:val="0"/>
        <w:spacing w:line="500" w:lineRule="exact"/>
        <w:ind w:left="56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（2）投标文件的大写金额和小写金额不一致的，以大写金额为准；</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（3）单价金额小数点或百分比有明显错位的，以开标一览表的总价为准，并修改单价；</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评标</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评定原则：根据符合采购需求、质量和服务等要求，综合评分确定中标人</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评标报告：评标委员会完成评定后，向招标人提交经各评标委员会成员签字的评定结果报告，并按评定办法推荐中标候选人。</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保密</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开标后直到宣布授予中标人合同为止,凡属于审查、澄清、评估和比较投标的有关资料且与授予合同有关的信息都不得向任何投标人或与上述评标过程无关的人员透露</w:t>
      </w:r>
      <w:r>
        <w:rPr>
          <w:rFonts w:hint="eastAsia" w:ascii="仿宋_GB2312" w:hAnsi="仿宋_GB2312" w:eastAsia="仿宋_GB2312" w:cs="仿宋_GB2312"/>
          <w:bCs/>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投标人对评标、比较或授予合同决定的过程施加影响的企图和行为,都可能导致其投标被拒绝。</w:t>
      </w:r>
    </w:p>
    <w:p>
      <w:pPr>
        <w:numPr>
          <w:ilvl w:val="0"/>
          <w:numId w:val="22"/>
        </w:numPr>
        <w:snapToGrid w:val="0"/>
        <w:spacing w:beforeLines="50" w:afterLines="50" w:line="540" w:lineRule="exact"/>
        <w:outlineLvl w:val="1"/>
        <w:rPr>
          <w:rFonts w:hint="eastAsia" w:ascii="仿宋_GB2312" w:hAnsi="仿宋_GB2312" w:eastAsia="仿宋_GB2312" w:cs="仿宋_GB2312"/>
          <w:b/>
          <w:sz w:val="28"/>
          <w:szCs w:val="28"/>
        </w:rPr>
      </w:pPr>
      <w:bookmarkStart w:id="39" w:name="_Toc75962259"/>
      <w:r>
        <w:rPr>
          <w:rFonts w:hint="eastAsia" w:ascii="仿宋_GB2312" w:hAnsi="仿宋_GB2312" w:eastAsia="仿宋_GB2312" w:cs="仿宋_GB2312"/>
          <w:b/>
          <w:sz w:val="28"/>
          <w:szCs w:val="28"/>
        </w:rPr>
        <w:t>授予合同</w:t>
      </w:r>
      <w:bookmarkEnd w:id="38"/>
      <w:bookmarkEnd w:id="39"/>
    </w:p>
    <w:p>
      <w:pPr>
        <w:numPr>
          <w:ilvl w:val="1"/>
          <w:numId w:val="20"/>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中标通知和合同授予</w:t>
      </w:r>
    </w:p>
    <w:p>
      <w:pPr>
        <w:spacing w:line="570" w:lineRule="exact"/>
        <w:ind w:firstLine="56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评定结果经招标人确定后，衢州市政府采购中心在中标人确定之日起2个工作日内将以书面形式发出《中标通知书》。中标通知书于中标公告发布之日签发，中标人应于本公告发布之日起两个工作日内，凭法人（负责人）授权委托书及被授权人身份证原件至衢州市公共资源交易中心政府招标窗口领取中标通知书，逾期领取的后果自负。</w:t>
      </w:r>
      <w:r>
        <w:rPr>
          <w:rFonts w:hint="eastAsia" w:ascii="仿宋_GB2312" w:hAnsi="仿宋_GB2312" w:eastAsia="仿宋_GB2312" w:cs="仿宋_GB2312"/>
          <w:spacing w:val="10"/>
          <w:sz w:val="28"/>
          <w:szCs w:val="28"/>
        </w:rPr>
        <w:t>中标人与招标单位须在中标通知书发出后3个工作日内签订合同。</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《中标通知书》一经发出即发生法律效力。招标人无义务向未中标人解释落选原因，不退回投标文件。《中标通知书》将作为签订合同的依据</w:t>
      </w:r>
      <w:r>
        <w:rPr>
          <w:rFonts w:hint="eastAsia" w:ascii="仿宋_GB2312" w:hAnsi="仿宋_GB2312" w:eastAsia="仿宋_GB2312" w:cs="仿宋_GB2312"/>
          <w:sz w:val="28"/>
          <w:szCs w:val="28"/>
          <w:lang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签订合同：中标人按《中标通知书》指定的时间、地点与招标人直接签订合同,并经衢州市政府采购中心签证后生效。在有合理证据证明中标人在投标过程中承诺的内容不能实质响应的，招标人有权拒签合同</w:t>
      </w:r>
      <w:r>
        <w:rPr>
          <w:rFonts w:hint="eastAsia" w:ascii="仿宋_GB2312" w:hAnsi="仿宋_GB2312" w:eastAsia="仿宋_GB2312" w:cs="仿宋_GB2312"/>
          <w:sz w:val="28"/>
          <w:szCs w:val="28"/>
          <w:lang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招标文件、澄清文件、投标文件等，均为签订合同的依据。中标人接到中标通知书后在规定的时间内与招标人签订合同，并交衢州市政府采购中心一份</w:t>
      </w:r>
      <w:r>
        <w:rPr>
          <w:rFonts w:hint="eastAsia" w:ascii="仿宋_GB2312" w:hAnsi="仿宋_GB2312" w:eastAsia="仿宋_GB2312" w:cs="仿宋_GB2312"/>
          <w:sz w:val="28"/>
          <w:szCs w:val="28"/>
          <w:lang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中标人不遵守投标文件的要约、承诺，擅自修改投标文件的内容或在接到中标通知书规定的时间内，借故拖延、拒签合同者，招标人将取消该投标人的中标资格。</w:t>
      </w:r>
    </w:p>
    <w:p>
      <w:pPr>
        <w:numPr>
          <w:ilvl w:val="0"/>
          <w:numId w:val="22"/>
        </w:numPr>
        <w:snapToGrid w:val="0"/>
        <w:spacing w:beforeLines="50" w:afterLines="50" w:line="540" w:lineRule="exact"/>
        <w:outlineLvl w:val="1"/>
        <w:rPr>
          <w:rFonts w:hint="eastAsia" w:ascii="仿宋_GB2312" w:hAnsi="仿宋_GB2312" w:eastAsia="仿宋_GB2312" w:cs="仿宋_GB2312"/>
          <w:b/>
          <w:sz w:val="28"/>
          <w:szCs w:val="28"/>
        </w:rPr>
      </w:pPr>
      <w:bookmarkStart w:id="40" w:name="_Toc75962260"/>
      <w:bookmarkStart w:id="41" w:name="_Toc356371442"/>
      <w:r>
        <w:rPr>
          <w:rFonts w:hint="eastAsia" w:ascii="仿宋_GB2312" w:hAnsi="仿宋_GB2312" w:eastAsia="仿宋_GB2312" w:cs="仿宋_GB2312"/>
          <w:b/>
          <w:sz w:val="28"/>
          <w:szCs w:val="28"/>
        </w:rPr>
        <w:t>其他</w:t>
      </w:r>
      <w:bookmarkEnd w:id="40"/>
      <w:bookmarkEnd w:id="41"/>
    </w:p>
    <w:p>
      <w:pPr>
        <w:numPr>
          <w:ilvl w:val="1"/>
          <w:numId w:val="23"/>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联系方式：所有与招标有关的函电请按下面联系</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通讯地址：衢州市花园东大道169号五楼507室    邮编：324000</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项目联系人：金先生</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答疑咨询电话：0570-3893203</w:t>
      </w:r>
    </w:p>
    <w:p>
      <w:pPr>
        <w:spacing w:line="540" w:lineRule="exact"/>
        <w:ind w:firstLine="560" w:firstLineChars="200"/>
        <w:jc w:val="center"/>
        <w:outlineLvl w:val="0"/>
        <w:rPr>
          <w:rFonts w:hint="eastAsia" w:ascii="仿宋_GB2312" w:hAnsi="仿宋_GB2312" w:eastAsia="仿宋_GB2312" w:cs="仿宋_GB2312"/>
          <w:sz w:val="28"/>
          <w:szCs w:val="28"/>
        </w:rPr>
        <w:sectPr>
          <w:headerReference r:id="rId5" w:type="default"/>
          <w:footerReference r:id="rId6" w:type="default"/>
          <w:pgSz w:w="11906" w:h="16838"/>
          <w:pgMar w:top="1389" w:right="1247" w:bottom="1389" w:left="1247" w:header="851" w:footer="992" w:gutter="284"/>
          <w:cols w:space="720" w:num="1"/>
          <w:docGrid w:linePitch="312" w:charSpace="0"/>
        </w:sectPr>
      </w:pPr>
    </w:p>
    <w:p>
      <w:pPr>
        <w:spacing w:line="540" w:lineRule="exact"/>
        <w:jc w:val="center"/>
        <w:outlineLvl w:val="0"/>
        <w:rPr>
          <w:rFonts w:hint="eastAsia" w:ascii="仿宋_GB2312" w:hAnsi="仿宋_GB2312" w:eastAsia="仿宋_GB2312" w:cs="仿宋_GB2312"/>
          <w:b/>
          <w:sz w:val="28"/>
          <w:szCs w:val="28"/>
        </w:rPr>
      </w:pPr>
      <w:bookmarkStart w:id="42" w:name="_Toc75962261"/>
      <w:bookmarkStart w:id="43" w:name="_Toc350256314"/>
      <w:bookmarkStart w:id="44" w:name="_Toc322352983"/>
      <w:bookmarkStart w:id="45" w:name="_Toc354401531"/>
      <w:r>
        <w:rPr>
          <w:rFonts w:hint="eastAsia" w:ascii="仿宋_GB2312" w:hAnsi="仿宋_GB2312" w:eastAsia="仿宋_GB2312" w:cs="仿宋_GB2312"/>
          <w:b/>
          <w:sz w:val="28"/>
          <w:szCs w:val="28"/>
        </w:rPr>
        <w:t>第三章  招标内容及要求</w:t>
      </w:r>
      <w:bookmarkEnd w:id="42"/>
      <w:bookmarkEnd w:id="43"/>
      <w:bookmarkEnd w:id="44"/>
      <w:bookmarkEnd w:id="45"/>
    </w:p>
    <w:p>
      <w:pPr>
        <w:spacing w:line="540" w:lineRule="exact"/>
        <w:jc w:val="center"/>
        <w:outlineLvl w:val="0"/>
        <w:rPr>
          <w:rFonts w:hint="eastAsia" w:ascii="仿宋_GB2312" w:hAnsi="仿宋_GB2312" w:eastAsia="仿宋_GB2312" w:cs="仿宋_GB2312"/>
          <w:b/>
          <w:sz w:val="28"/>
          <w:szCs w:val="28"/>
        </w:rPr>
      </w:pPr>
    </w:p>
    <w:p>
      <w:pPr>
        <w:spacing w:line="540" w:lineRule="exact"/>
        <w:ind w:firstLine="560" w:firstLineChars="200"/>
        <w:rPr>
          <w:rFonts w:hint="eastAsia" w:ascii="仿宋_GB2312" w:hAnsi="仿宋_GB2312" w:eastAsia="仿宋_GB2312" w:cs="仿宋_GB2312"/>
          <w:sz w:val="28"/>
          <w:szCs w:val="28"/>
        </w:rPr>
      </w:pPr>
      <w:bookmarkStart w:id="46" w:name="_Toc350256315"/>
      <w:bookmarkStart w:id="47" w:name="_Toc322352984"/>
      <w:bookmarkStart w:id="48" w:name="_Toc354401534"/>
      <w:r>
        <w:rPr>
          <w:rFonts w:hint="eastAsia" w:ascii="仿宋_GB2312" w:hAnsi="仿宋_GB2312" w:eastAsia="仿宋_GB2312" w:cs="仿宋_GB2312"/>
          <w:sz w:val="28"/>
          <w:szCs w:val="28"/>
        </w:rPr>
        <w:t>一、本次招标内容</w:t>
      </w:r>
    </w:p>
    <w:p>
      <w:pPr>
        <w:pStyle w:val="282"/>
        <w:spacing w:line="540" w:lineRule="exact"/>
        <w:ind w:firstLine="560" w:firstLineChars="200"/>
        <w:jc w:val="both"/>
        <w:rPr>
          <w:rFonts w:hint="eastAsia" w:ascii="仿宋_GB2312" w:hAnsi="仿宋_GB2312" w:eastAsia="仿宋_GB2312" w:cs="仿宋_GB2312"/>
          <w:color w:val="auto"/>
          <w:spacing w:val="10"/>
          <w:sz w:val="28"/>
          <w:szCs w:val="28"/>
        </w:rPr>
      </w:pPr>
      <w:r>
        <w:rPr>
          <w:rFonts w:hint="eastAsia" w:ascii="仿宋_GB2312" w:hAnsi="仿宋_GB2312" w:eastAsia="仿宋_GB2312" w:cs="仿宋_GB2312"/>
          <w:sz w:val="28"/>
          <w:szCs w:val="28"/>
        </w:rPr>
        <w:t>本次招</w:t>
      </w:r>
      <w:r>
        <w:rPr>
          <w:rFonts w:hint="eastAsia" w:ascii="仿宋_GB2312" w:hAnsi="仿宋_GB2312" w:eastAsia="仿宋_GB2312" w:cs="仿宋_GB2312"/>
          <w:bCs/>
          <w:sz w:val="28"/>
          <w:szCs w:val="28"/>
        </w:rPr>
        <w:t>标计划总额为</w:t>
      </w:r>
      <w:r>
        <w:rPr>
          <w:rFonts w:hint="eastAsia" w:ascii="仿宋_GB2312" w:hAnsi="仿宋_GB2312" w:eastAsia="仿宋_GB2312" w:cs="仿宋_GB2312"/>
          <w:sz w:val="28"/>
          <w:szCs w:val="28"/>
        </w:rPr>
        <w:t>一年期定期</w:t>
      </w:r>
      <w:r>
        <w:rPr>
          <w:rFonts w:hint="eastAsia" w:ascii="仿宋_GB2312" w:hAnsi="仿宋_GB2312" w:eastAsia="仿宋_GB2312" w:cs="仿宋_GB2312"/>
          <w:bCs/>
          <w:sz w:val="28"/>
          <w:szCs w:val="28"/>
        </w:rPr>
        <w:t>存款</w:t>
      </w:r>
      <w:r>
        <w:rPr>
          <w:rFonts w:hint="eastAsia" w:ascii="仿宋_GB2312" w:hAnsi="仿宋_GB2312" w:eastAsia="仿宋_GB2312" w:cs="仿宋_GB2312"/>
          <w:color w:val="auto"/>
          <w:spacing w:val="10"/>
          <w:sz w:val="28"/>
          <w:szCs w:val="28"/>
        </w:rPr>
        <w:t>97500万元。</w:t>
      </w:r>
    </w:p>
    <w:p>
      <w:pPr>
        <w:pStyle w:val="282"/>
        <w:spacing w:line="540" w:lineRule="exact"/>
        <w:ind w:firstLine="562"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color w:val="auto"/>
          <w:sz w:val="28"/>
          <w:szCs w:val="28"/>
        </w:rPr>
        <w:t>质押和保证</w:t>
      </w:r>
    </w:p>
    <w:p>
      <w:pPr>
        <w:pStyle w:val="282"/>
        <w:spacing w:line="54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中标人须在竞标银行中标存款协议签订后及时向市财政局供质押或保证。中标银行提供的质押或保证面值数额为中标金额的120%。</w:t>
      </w:r>
    </w:p>
    <w:p>
      <w:pPr>
        <w:pStyle w:val="283"/>
        <w:spacing w:line="540" w:lineRule="exact"/>
        <w:ind w:firstLine="560" w:firstLineChars="200"/>
        <w:jc w:val="both"/>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采取质押方式的，要求提供可流通的债券（或国债、有价证券）等合格质押品。无合格质押品的商业银行分支机构，可以取得该商业银行总行（或上一级行）载明质押品种、数量等信息的质押授权书或担保函。采取保证方式的，要求提供以其他商业银行自愿为参与竞标的银行出具的注明担保内容、金额等信息的担保函，保证方式为连带责任保证。</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有下列情形之一的，招标人有权提前收回中标银行的存放资金：</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（一）中标银行在资金存放期间出现资金安全事故、重大违法违规行为或财务状况恶化的；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（二）监管评级降低且监管部门认为存在较大运营风险的；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（三）进行不正当投标的；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（四）中标银行解散或其机构（分支机构）撤离衢州市区的；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（五）没有按照中标协议承诺履行相应的责任和义务的；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（六）存在其他妨害资金安全行为的。</w:t>
      </w:r>
    </w:p>
    <w:p>
      <w:pPr>
        <w:spacing w:line="57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四、特别提示。</w:t>
      </w:r>
    </w:p>
    <w:p>
      <w:pPr>
        <w:spacing w:line="570" w:lineRule="exact"/>
        <w:ind w:firstLine="56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color w:val="FF0000"/>
          <w:sz w:val="28"/>
          <w:szCs w:val="28"/>
        </w:rPr>
        <w:t>定期存款</w:t>
      </w:r>
      <w:r>
        <w:rPr>
          <w:rFonts w:hint="eastAsia" w:ascii="仿宋_GB2312" w:hAnsi="仿宋_GB2312" w:eastAsia="仿宋_GB2312" w:cs="仿宋_GB2312"/>
          <w:color w:val="FF0000"/>
          <w:kern w:val="0"/>
          <w:sz w:val="28"/>
          <w:szCs w:val="28"/>
        </w:rPr>
        <w:t>综合收益以</w:t>
      </w:r>
      <w:r>
        <w:rPr>
          <w:rFonts w:hint="eastAsia" w:ascii="仿宋_GB2312" w:hAnsi="仿宋_GB2312" w:eastAsia="仿宋_GB2312" w:cs="仿宋_GB2312"/>
          <w:color w:val="FF0000"/>
          <w:sz w:val="28"/>
          <w:szCs w:val="28"/>
        </w:rPr>
        <w:t>定期存款</w:t>
      </w:r>
      <w:r>
        <w:rPr>
          <w:rFonts w:hint="eastAsia" w:ascii="仿宋_GB2312" w:hAnsi="仿宋_GB2312" w:eastAsia="仿宋_GB2312" w:cs="仿宋_GB2312"/>
          <w:color w:val="FF0000"/>
          <w:kern w:val="0"/>
          <w:sz w:val="28"/>
          <w:szCs w:val="28"/>
        </w:rPr>
        <w:t>协议书载明的年利率计算</w:t>
      </w:r>
      <w:r>
        <w:rPr>
          <w:rFonts w:hint="eastAsia" w:ascii="仿宋_GB2312" w:hAnsi="仿宋_GB2312" w:eastAsia="仿宋_GB2312" w:cs="仿宋_GB2312"/>
          <w:color w:val="FF0000"/>
          <w:kern w:val="0"/>
          <w:sz w:val="28"/>
          <w:szCs w:val="28"/>
          <w:lang w:eastAsia="zh-CN"/>
        </w:rPr>
        <w:t>，于</w:t>
      </w:r>
      <w:r>
        <w:rPr>
          <w:rFonts w:hint="eastAsia" w:ascii="仿宋_GB2312" w:hAnsi="仿宋_GB2312" w:eastAsia="仿宋_GB2312" w:cs="仿宋_GB2312"/>
          <w:color w:val="FF0000"/>
          <w:kern w:val="0"/>
          <w:sz w:val="28"/>
          <w:szCs w:val="28"/>
        </w:rPr>
        <w:t>存款到期日结算</w:t>
      </w:r>
      <w:r>
        <w:rPr>
          <w:rFonts w:hint="eastAsia" w:ascii="仿宋_GB2312" w:hAnsi="仿宋_GB2312" w:eastAsia="仿宋_GB2312" w:cs="仿宋_GB2312"/>
          <w:color w:val="FF0000"/>
          <w:kern w:val="0"/>
          <w:sz w:val="28"/>
          <w:szCs w:val="28"/>
          <w:lang w:eastAsia="zh-CN"/>
        </w:rPr>
        <w:t>。</w:t>
      </w:r>
      <w:r>
        <w:rPr>
          <w:rFonts w:hint="eastAsia" w:ascii="仿宋_GB2312" w:hAnsi="仿宋_GB2312" w:eastAsia="仿宋_GB2312" w:cs="仿宋_GB2312"/>
          <w:sz w:val="28"/>
          <w:szCs w:val="28"/>
        </w:rPr>
        <w:t>招标人可提前支取全部或部分定期存款，中标银行应积极配合办理。提前支取部分，</w:t>
      </w:r>
      <w:r>
        <w:rPr>
          <w:rFonts w:hint="eastAsia" w:ascii="仿宋_GB2312" w:hAnsi="仿宋_GB2312" w:eastAsia="仿宋_GB2312" w:cs="仿宋_GB2312"/>
          <w:bCs/>
          <w:kern w:val="0"/>
          <w:sz w:val="28"/>
          <w:szCs w:val="28"/>
        </w:rPr>
        <w:t>按《人民币单位存款管理办法》相关规定计息</w:t>
      </w:r>
      <w:r>
        <w:rPr>
          <w:rFonts w:hint="eastAsia" w:ascii="仿宋_GB2312" w:hAnsi="仿宋_GB2312" w:eastAsia="仿宋_GB2312" w:cs="仿宋_GB2312"/>
          <w:sz w:val="28"/>
          <w:szCs w:val="28"/>
        </w:rPr>
        <w:t>。未支取部分仍需按合同约定计算收益。</w:t>
      </w:r>
    </w:p>
    <w:p>
      <w:pPr>
        <w:spacing w:line="570" w:lineRule="exact"/>
        <w:ind w:firstLine="56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pacing w:val="10"/>
          <w:sz w:val="28"/>
          <w:szCs w:val="28"/>
        </w:rPr>
        <w:t>市财政局要求提前支取全部或部分定期存款的，若银行不配合按期办理相关定期存款支取手续，或未按协议约定利率结清相应的存款利息的，取消2021年全年(以招标公告发布期限为准)财政性资金竞争性存放投标资格。</w:t>
      </w:r>
    </w:p>
    <w:p>
      <w:pPr>
        <w:spacing w:line="54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本方案由衢州市财政国库支付中心负责解释。</w:t>
      </w: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bookmarkStart w:id="49" w:name="_Toc75962262"/>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第四章  合同</w:t>
      </w:r>
      <w:bookmarkEnd w:id="46"/>
      <w:bookmarkEnd w:id="47"/>
      <w:bookmarkEnd w:id="48"/>
      <w:r>
        <w:rPr>
          <w:rFonts w:hint="eastAsia" w:ascii="仿宋_GB2312" w:hAnsi="仿宋_GB2312" w:eastAsia="仿宋_GB2312" w:cs="仿宋_GB2312"/>
          <w:b/>
          <w:sz w:val="28"/>
          <w:szCs w:val="28"/>
        </w:rPr>
        <w:t>文本</w:t>
      </w:r>
      <w:bookmarkEnd w:id="49"/>
    </w:p>
    <w:p>
      <w:pPr>
        <w:spacing w:line="540" w:lineRule="exact"/>
        <w:jc w:val="center"/>
        <w:rPr>
          <w:rFonts w:hint="eastAsia" w:ascii="仿宋_GB2312" w:hAnsi="仿宋_GB2312" w:eastAsia="仿宋_GB2312" w:cs="仿宋_GB2312"/>
          <w:b/>
          <w:bCs/>
          <w:sz w:val="28"/>
          <w:szCs w:val="28"/>
        </w:rPr>
      </w:pPr>
    </w:p>
    <w:p>
      <w:pPr>
        <w:pStyle w:val="39"/>
        <w:spacing w:line="5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（2021年第2期衢州市政府性资金结算平台资金竞争性存放）</w:t>
      </w:r>
    </w:p>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项目定期存款协议书</w:t>
      </w:r>
    </w:p>
    <w:p>
      <w:pPr>
        <w:spacing w:line="540" w:lineRule="exact"/>
        <w:rPr>
          <w:rFonts w:hint="eastAsia"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甲方：衢州市财政国库支付中心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乙方：</w:t>
      </w:r>
    </w:p>
    <w:p>
      <w:pPr>
        <w:pStyle w:val="54"/>
        <w:keepNext w:val="0"/>
        <w:keepLines w:val="0"/>
        <w:pageBreakBefore w:val="0"/>
        <w:widowControl/>
        <w:suppressLineNumbers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为保护甲乙双方合法权益，根据</w:t>
      </w:r>
      <w:r>
        <w:rPr>
          <w:rFonts w:hint="eastAsia" w:ascii="仿宋_GB2312" w:hAnsi="仿宋_GB2312" w:eastAsia="仿宋_GB2312" w:cs="仿宋_GB2312"/>
          <w:sz w:val="28"/>
          <w:szCs w:val="28"/>
        </w:rPr>
        <w:t>《中华人民共和国招投标法》、</w:t>
      </w:r>
      <w:r>
        <w:rPr>
          <w:rFonts w:hint="eastAsia" w:ascii="仿宋_GB2312" w:hAnsi="仿宋_GB2312" w:eastAsia="仿宋_GB2312" w:cs="仿宋_GB2312"/>
          <w:kern w:val="0"/>
          <w:sz w:val="28"/>
          <w:szCs w:val="28"/>
        </w:rPr>
        <w:t>《中华人民共和</w:t>
      </w:r>
      <w:r>
        <w:rPr>
          <w:rFonts w:hint="eastAsia" w:ascii="仿宋_GB2312" w:hAnsi="仿宋_GB2312" w:eastAsia="仿宋_GB2312" w:cs="仿宋_GB2312"/>
          <w:b w:val="0"/>
          <w:bCs w:val="0"/>
          <w:kern w:val="0"/>
          <w:sz w:val="28"/>
          <w:szCs w:val="28"/>
        </w:rPr>
        <w:t>国</w:t>
      </w:r>
      <w:r>
        <w:rPr>
          <w:rStyle w:val="64"/>
          <w:rFonts w:hint="eastAsia" w:ascii="仿宋_GB2312" w:hAnsi="仿宋_GB2312" w:eastAsia="仿宋_GB2312" w:cs="仿宋_GB2312"/>
          <w:b w:val="0"/>
          <w:bCs w:val="0"/>
          <w:sz w:val="28"/>
          <w:szCs w:val="28"/>
        </w:rPr>
        <w:t>民法典</w:t>
      </w:r>
      <w:r>
        <w:rPr>
          <w:rFonts w:hint="eastAsia" w:ascii="仿宋_GB2312" w:hAnsi="仿宋_GB2312" w:eastAsia="仿宋_GB2312" w:cs="仿宋_GB2312"/>
          <w:kern w:val="0"/>
          <w:sz w:val="28"/>
          <w:szCs w:val="28"/>
        </w:rPr>
        <w:t>》等有关法律法规和甲方2021年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日出具的《中标通知书》，结合甲方招标文件、乙方投标文件等相关文件，特签订本协议：</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bookmarkStart w:id="50" w:name="_Toc24708481"/>
      <w:r>
        <w:rPr>
          <w:rFonts w:hint="eastAsia" w:ascii="仿宋_GB2312" w:hAnsi="仿宋_GB2312" w:eastAsia="仿宋_GB2312" w:cs="仿宋_GB2312"/>
          <w:b/>
          <w:kern w:val="0"/>
          <w:sz w:val="28"/>
          <w:szCs w:val="28"/>
        </w:rPr>
        <w:t>一、总则</w:t>
      </w:r>
      <w:bookmarkEnd w:id="50"/>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（一）甲方通过招投标方式，择优确定将（   ）项目</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存入乙方，其</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有关的资金管理、本息收回等活动适用本协议。</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（二）经招投标确定，甲方在乙方开立</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账户，存入</w:t>
      </w:r>
      <w:r>
        <w:rPr>
          <w:rFonts w:hint="eastAsia" w:ascii="仿宋_GB2312" w:hAnsi="仿宋_GB2312" w:eastAsia="仿宋_GB2312" w:cs="仿宋_GB2312"/>
          <w:sz w:val="28"/>
          <w:szCs w:val="28"/>
        </w:rPr>
        <w:t>定期存款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万元，存款期限</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年利率</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（三）乙方在协议签订后及时提供可流通</w:t>
      </w:r>
      <w:r>
        <w:rPr>
          <w:rFonts w:hint="eastAsia" w:ascii="仿宋_GB2312" w:hAnsi="仿宋_GB2312" w:eastAsia="仿宋_GB2312" w:cs="仿宋_GB2312"/>
          <w:sz w:val="28"/>
          <w:szCs w:val="28"/>
        </w:rPr>
        <w:t>债券（或国债、有价证券）</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万元作为质押，具体质押</w:t>
      </w:r>
      <w:r>
        <w:rPr>
          <w:rFonts w:hint="eastAsia" w:ascii="仿宋_GB2312" w:hAnsi="仿宋_GB2312" w:eastAsia="仿宋_GB2312" w:cs="仿宋_GB2312"/>
          <w:sz w:val="28"/>
          <w:szCs w:val="28"/>
        </w:rPr>
        <w:t>债券（或国债、有价证券）</w:t>
      </w:r>
      <w:r>
        <w:rPr>
          <w:rFonts w:hint="eastAsia" w:ascii="仿宋_GB2312" w:hAnsi="仿宋_GB2312" w:eastAsia="仿宋_GB2312" w:cs="仿宋_GB2312"/>
          <w:kern w:val="0"/>
          <w:sz w:val="28"/>
          <w:szCs w:val="28"/>
        </w:rPr>
        <w:t>名称、期限及数量见质押授权书。</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kern w:val="0"/>
          <w:sz w:val="28"/>
          <w:szCs w:val="28"/>
        </w:rPr>
      </w:pPr>
      <w:bookmarkStart w:id="51" w:name="_Toc24708482"/>
      <w:r>
        <w:rPr>
          <w:rFonts w:hint="eastAsia" w:ascii="仿宋_GB2312" w:hAnsi="仿宋_GB2312" w:eastAsia="仿宋_GB2312" w:cs="仿宋_GB2312"/>
          <w:b/>
          <w:bCs/>
          <w:kern w:val="0"/>
          <w:sz w:val="28"/>
          <w:szCs w:val="28"/>
        </w:rPr>
        <w:t>二、甲方权利与义务</w:t>
      </w:r>
      <w:bookmarkEnd w:id="51"/>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（一）甲方权利主要包括：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1、要求乙方提供</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证明（存单）；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spacing w:val="-6"/>
          <w:kern w:val="0"/>
          <w:sz w:val="28"/>
          <w:szCs w:val="28"/>
        </w:rPr>
        <w:t>根据资金管理需要，可提前支取或收回</w:t>
      </w:r>
      <w:r>
        <w:rPr>
          <w:rFonts w:hint="eastAsia" w:ascii="仿宋_GB2312" w:hAnsi="仿宋_GB2312" w:eastAsia="仿宋_GB2312" w:cs="仿宋_GB2312"/>
          <w:spacing w:val="-6"/>
          <w:sz w:val="28"/>
          <w:szCs w:val="28"/>
        </w:rPr>
        <w:t>定期存款</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3、于</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到期日收回本息</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4、定期或不定期取得乙方提供的质押品的确认信息。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（二）甲方义务主要包括：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1、按本协议约定及时将存放资金划入乙方；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2、因资金支付需要提前支取定期存款，应提前通知乙方。</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三、乙方权利与义务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bookmarkStart w:id="52" w:name="_Toc24708483"/>
      <w:r>
        <w:rPr>
          <w:rFonts w:hint="eastAsia" w:ascii="仿宋_GB2312" w:hAnsi="仿宋_GB2312" w:eastAsia="仿宋_GB2312" w:cs="仿宋_GB2312"/>
          <w:kern w:val="0"/>
          <w:sz w:val="28"/>
          <w:szCs w:val="28"/>
        </w:rPr>
        <w:t>（一）乙方权利主要包括：</w:t>
      </w:r>
      <w:bookmarkEnd w:id="52"/>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1、在规定时间内接受甲方的存放资金；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2、足额缴清</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本息后，要求甲方及时解除质押或保证。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bookmarkStart w:id="53" w:name="_Toc24708484"/>
      <w:r>
        <w:rPr>
          <w:rFonts w:hint="eastAsia" w:ascii="仿宋_GB2312" w:hAnsi="仿宋_GB2312" w:eastAsia="仿宋_GB2312" w:cs="仿宋_GB2312"/>
          <w:kern w:val="0"/>
          <w:sz w:val="28"/>
          <w:szCs w:val="28"/>
        </w:rPr>
        <w:t>（二）乙方义务主要包括：</w:t>
      </w:r>
      <w:bookmarkEnd w:id="53"/>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1、在协议签订后及时按招标文件规定提供足额质押或保证；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2、向甲方提供</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证明（存单）；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3、配合甲方做好可能的资金提前支取工作；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spacing w:val="10"/>
          <w:kern w:val="0"/>
          <w:sz w:val="28"/>
          <w:szCs w:val="28"/>
        </w:rPr>
        <w:t>、</w:t>
      </w:r>
      <w:r>
        <w:rPr>
          <w:rFonts w:hint="eastAsia" w:ascii="仿宋_GB2312" w:hAnsi="仿宋_GB2312" w:eastAsia="仿宋_GB2312" w:cs="仿宋_GB2312"/>
          <w:kern w:val="0"/>
          <w:sz w:val="28"/>
          <w:szCs w:val="28"/>
        </w:rPr>
        <w:t>配合甲方做好质押品信息的确认工作，质押品在质押期间有变更，需提前征得甲方同意，并重新办理质押；</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到期及时足额缴清甲方本息</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6、确保甲方存放资金存续期间的资金安全。</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四、违约责任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除发生不可抗力外，违约责任按以下条款执行：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（一）乙方未按规定将存款本息足额划回甲方，应按欠还存款本息额，以协议中</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年利率的两倍折成日收益率，按日向甲方支付违约金；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（二）甲方未按规定将资金划拨乙方，应按未划拨资金额，以协议中</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年利率的两倍折成日收益率，按日向乙方支付违约金。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（三）有下列情形之一的，甲方有权提前收回在乙方的存放资金，并取消乙方今后参与甲方资金竞争性存放投标资格：</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1、乙方在资金存续期间出现资金安全事故或重大违规违法行为的；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2、乙方综合考评等级降低、监管部门认为存在较大运营风险的；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3、乙方没有按照本协议规定履行相应的责任和义务的；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4、乙方解散或其机构（分支机构）撤离衢州市区的；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5、其他妨害甲方资金安全的情形。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五、提前支取（收回）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甲方可提前支取全部或部分</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，乙方应积极配合办理。提前支取部分，</w:t>
      </w:r>
      <w:r>
        <w:rPr>
          <w:rFonts w:hint="eastAsia" w:ascii="仿宋_GB2312" w:hAnsi="仿宋_GB2312" w:eastAsia="仿宋_GB2312" w:cs="仿宋_GB2312"/>
          <w:bCs/>
          <w:kern w:val="0"/>
          <w:sz w:val="28"/>
          <w:szCs w:val="28"/>
        </w:rPr>
        <w:t>按《人民币单位存款管理办法》相关规定计息</w:t>
      </w:r>
      <w:r>
        <w:rPr>
          <w:rFonts w:hint="eastAsia" w:ascii="仿宋_GB2312" w:hAnsi="仿宋_GB2312" w:eastAsia="仿宋_GB2312" w:cs="仿宋_GB2312"/>
          <w:kern w:val="0"/>
          <w:sz w:val="28"/>
          <w:szCs w:val="28"/>
        </w:rPr>
        <w:t>。未支取部分仍需按协议约定计算收益。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六、争议的解决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在协议履行过程中出现问题或争议的，双方应开展友好协商，妥善解决。如协商不成，任何一方有权在本协议履行地通过诉讼的途径解决。</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b/>
          <w:kern w:val="0"/>
          <w:sz w:val="28"/>
          <w:szCs w:val="28"/>
        </w:rPr>
        <w:t>七、</w:t>
      </w:r>
      <w:r>
        <w:rPr>
          <w:rFonts w:hint="eastAsia" w:ascii="仿宋_GB2312" w:hAnsi="仿宋_GB2312" w:eastAsia="仿宋_GB2312" w:cs="仿宋_GB2312"/>
          <w:spacing w:val="-4"/>
          <w:kern w:val="0"/>
          <w:sz w:val="28"/>
          <w:szCs w:val="28"/>
        </w:rPr>
        <w:t>本协议一式三份，甲、乙双方各执一份，衢州市政府采购中心一份。</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八、</w:t>
      </w:r>
      <w:r>
        <w:rPr>
          <w:rFonts w:hint="eastAsia" w:ascii="仿宋_GB2312" w:hAnsi="仿宋_GB2312" w:eastAsia="仿宋_GB2312" w:cs="仿宋_GB2312"/>
          <w:kern w:val="0"/>
          <w:sz w:val="28"/>
          <w:szCs w:val="28"/>
        </w:rPr>
        <w:t>本协议自签订之日起生效。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甲方（盖章）：                 乙方（盖章）：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                   法定代表人（</w:t>
      </w:r>
      <w:r>
        <w:rPr>
          <w:rFonts w:hint="eastAsia" w:ascii="仿宋_GB2312" w:hAnsi="仿宋_GB2312" w:eastAsia="仿宋_GB2312" w:cs="仿宋_GB2312"/>
          <w:sz w:val="28"/>
          <w:szCs w:val="28"/>
        </w:rPr>
        <w:t>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在衢机构负责人</w:t>
      </w:r>
      <w:r>
        <w:rPr>
          <w:rFonts w:hint="eastAsia" w:ascii="仿宋_GB2312" w:hAnsi="仿宋_GB2312" w:eastAsia="仿宋_GB2312" w:cs="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或授权委托人（签字）：         或授权委托人（签字）：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电话：                         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签约日期：    年   月   日         签约日期：    年   月   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签约地点：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sectPr>
          <w:headerReference r:id="rId8" w:type="first"/>
          <w:footerReference r:id="rId10" w:type="first"/>
          <w:headerReference r:id="rId7" w:type="even"/>
          <w:footerReference r:id="rId9" w:type="even"/>
          <w:pgSz w:w="11906" w:h="16838"/>
          <w:pgMar w:top="1389" w:right="1247" w:bottom="1389" w:left="1247" w:header="851" w:footer="992" w:gutter="284"/>
          <w:cols w:space="720" w:num="1"/>
        </w:sectPr>
      </w:pPr>
    </w:p>
    <w:p>
      <w:pPr>
        <w:rPr>
          <w:rFonts w:hint="eastAsia" w:ascii="仿宋_GB2312" w:hAnsi="仿宋_GB2312" w:eastAsia="仿宋_GB2312" w:cs="仿宋_GB2312"/>
          <w:sz w:val="28"/>
          <w:szCs w:val="28"/>
        </w:rPr>
      </w:pPr>
      <w:bookmarkStart w:id="54" w:name="_Toc322352985"/>
      <w:bookmarkStart w:id="55" w:name="_Toc354491899"/>
      <w:bookmarkStart w:id="56" w:name="_Toc356371458"/>
    </w:p>
    <w:p>
      <w:pPr>
        <w:snapToGrid w:val="0"/>
        <w:spacing w:line="540" w:lineRule="exact"/>
        <w:ind w:firstLine="1600"/>
        <w:outlineLvl w:val="0"/>
        <w:rPr>
          <w:rFonts w:hint="eastAsia" w:ascii="仿宋_GB2312" w:hAnsi="仿宋_GB2312" w:eastAsia="仿宋_GB2312" w:cs="仿宋_GB2312"/>
          <w:b/>
          <w:sz w:val="28"/>
          <w:szCs w:val="28"/>
        </w:rPr>
      </w:pPr>
      <w:bookmarkStart w:id="57" w:name="_Toc75962263"/>
      <w:r>
        <w:rPr>
          <w:rFonts w:hint="eastAsia" w:ascii="仿宋_GB2312" w:hAnsi="仿宋_GB2312" w:eastAsia="仿宋_GB2312" w:cs="仿宋_GB2312"/>
          <w:b/>
          <w:sz w:val="28"/>
          <w:szCs w:val="28"/>
        </w:rPr>
        <w:t>第五章  应提交的有关格式范例</w:t>
      </w:r>
      <w:bookmarkEnd w:id="54"/>
      <w:bookmarkEnd w:id="55"/>
      <w:bookmarkEnd w:id="56"/>
      <w:bookmarkEnd w:id="57"/>
    </w:p>
    <w:p>
      <w:pPr>
        <w:ind w:firstLine="2389" w:firstLineChars="850"/>
        <w:rPr>
          <w:rStyle w:val="140"/>
          <w:rFonts w:hint="eastAsia" w:ascii="仿宋_GB2312" w:hAnsi="仿宋_GB2312" w:eastAsia="仿宋_GB2312" w:cs="仿宋_GB2312"/>
          <w:sz w:val="28"/>
          <w:szCs w:val="28"/>
        </w:rPr>
      </w:pPr>
      <w:bookmarkStart w:id="58" w:name="_Toc24708486"/>
    </w:p>
    <w:p>
      <w:pPr>
        <w:ind w:firstLine="2389" w:firstLineChars="850"/>
        <w:rPr>
          <w:rStyle w:val="140"/>
          <w:rFonts w:hint="eastAsia" w:ascii="仿宋_GB2312" w:hAnsi="仿宋_GB2312" w:eastAsia="仿宋_GB2312" w:cs="仿宋_GB2312"/>
          <w:sz w:val="28"/>
          <w:szCs w:val="28"/>
        </w:rPr>
      </w:pPr>
    </w:p>
    <w:p>
      <w:pPr>
        <w:ind w:firstLine="2389" w:firstLineChars="850"/>
        <w:rPr>
          <w:rStyle w:val="140"/>
          <w:rFonts w:hint="eastAsia" w:ascii="仿宋_GB2312" w:hAnsi="仿宋_GB2312" w:eastAsia="仿宋_GB2312" w:cs="仿宋_GB2312"/>
          <w:sz w:val="28"/>
          <w:szCs w:val="28"/>
        </w:rPr>
      </w:pPr>
    </w:p>
    <w:p>
      <w:pPr>
        <w:ind w:firstLine="2389" w:firstLineChars="850"/>
        <w:rPr>
          <w:rFonts w:hint="eastAsia" w:ascii="仿宋_GB2312" w:hAnsi="仿宋_GB2312" w:eastAsia="仿宋_GB2312" w:cs="仿宋_GB2312"/>
          <w:b/>
          <w:sz w:val="28"/>
          <w:szCs w:val="28"/>
        </w:rPr>
      </w:pPr>
      <w:r>
        <w:rPr>
          <w:rStyle w:val="140"/>
          <w:rFonts w:hint="eastAsia" w:ascii="仿宋_GB2312" w:hAnsi="仿宋_GB2312" w:eastAsia="仿宋_GB2312" w:cs="仿宋_GB2312"/>
          <w:sz w:val="28"/>
          <w:szCs w:val="28"/>
        </w:rPr>
        <w:t>1、投标文件封面</w:t>
      </w:r>
      <w:bookmarkEnd w:id="58"/>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line="720" w:lineRule="auto"/>
        <w:rPr>
          <w:rFonts w:hint="eastAsia" w:ascii="仿宋_GB2312" w:hAnsi="仿宋_GB2312" w:eastAsia="仿宋_GB2312" w:cs="仿宋_GB2312"/>
          <w:b/>
          <w:sz w:val="28"/>
          <w:szCs w:val="28"/>
        </w:rPr>
      </w:pPr>
    </w:p>
    <w:p>
      <w:pPr>
        <w:spacing w:line="720" w:lineRule="auto"/>
        <w:rPr>
          <w:rFonts w:hint="eastAsia" w:ascii="仿宋_GB2312" w:hAnsi="仿宋_GB2312" w:eastAsia="仿宋_GB2312" w:cs="仿宋_GB2312"/>
          <w:sz w:val="28"/>
          <w:szCs w:val="28"/>
          <w:u w:val="single"/>
        </w:rPr>
      </w:pPr>
      <w:bookmarkStart w:id="59" w:name="_Toc357410802"/>
      <w:r>
        <w:rPr>
          <w:rFonts w:hint="eastAsia" w:ascii="仿宋_GB2312" w:hAnsi="仿宋_GB2312" w:eastAsia="仿宋_GB2312" w:cs="仿宋_GB2312"/>
          <w:sz w:val="28"/>
          <w:szCs w:val="28"/>
        </w:rPr>
        <w:t>项目名称：</w:t>
      </w:r>
      <w:bookmarkEnd w:id="59"/>
      <w:r>
        <w:rPr>
          <w:rFonts w:hint="eastAsia" w:ascii="仿宋_GB2312" w:hAnsi="仿宋_GB2312" w:eastAsia="仿宋_GB2312" w:cs="仿宋_GB2312"/>
          <w:sz w:val="28"/>
          <w:szCs w:val="28"/>
          <w:u w:val="single"/>
        </w:rPr>
        <w:t xml:space="preserve">                   </w:t>
      </w:r>
    </w:p>
    <w:p>
      <w:pPr>
        <w:spacing w:line="720" w:lineRule="auto"/>
        <w:rPr>
          <w:rFonts w:hint="eastAsia" w:ascii="仿宋_GB2312" w:hAnsi="仿宋_GB2312" w:eastAsia="仿宋_GB2312" w:cs="仿宋_GB2312"/>
          <w:sz w:val="28"/>
          <w:szCs w:val="28"/>
          <w:u w:val="single"/>
        </w:rPr>
      </w:pPr>
      <w:bookmarkStart w:id="60" w:name="_Toc357410803"/>
      <w:r>
        <w:rPr>
          <w:rFonts w:hint="eastAsia" w:ascii="仿宋_GB2312" w:hAnsi="仿宋_GB2312" w:eastAsia="仿宋_GB2312" w:cs="仿宋_GB2312"/>
          <w:sz w:val="28"/>
          <w:szCs w:val="28"/>
        </w:rPr>
        <w:t>项目编号：</w:t>
      </w:r>
      <w:bookmarkEnd w:id="60"/>
      <w:r>
        <w:rPr>
          <w:rFonts w:hint="eastAsia" w:ascii="仿宋_GB2312" w:hAnsi="仿宋_GB2312" w:eastAsia="仿宋_GB2312" w:cs="仿宋_GB2312"/>
          <w:sz w:val="28"/>
          <w:szCs w:val="28"/>
          <w:u w:val="single"/>
        </w:rPr>
        <w:t xml:space="preserve">                    </w:t>
      </w:r>
    </w:p>
    <w:p>
      <w:pPr>
        <w:spacing w:line="720" w:lineRule="auto"/>
        <w:rPr>
          <w:rFonts w:hint="eastAsia" w:ascii="仿宋_GB2312" w:hAnsi="仿宋_GB2312" w:eastAsia="仿宋_GB2312" w:cs="仿宋_GB2312"/>
          <w:sz w:val="28"/>
          <w:szCs w:val="28"/>
        </w:rPr>
      </w:pPr>
      <w:bookmarkStart w:id="61" w:name="_Toc357410804"/>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（盖单位公章）</w:t>
      </w:r>
      <w:bookmarkEnd w:id="61"/>
    </w:p>
    <w:p>
      <w:pPr>
        <w:spacing w:line="720" w:lineRule="auto"/>
        <w:rPr>
          <w:rFonts w:hint="eastAsia" w:ascii="仿宋_GB2312" w:hAnsi="仿宋_GB2312" w:eastAsia="仿宋_GB2312" w:cs="仿宋_GB2312"/>
          <w:sz w:val="28"/>
          <w:szCs w:val="28"/>
        </w:rPr>
      </w:pPr>
      <w:bookmarkStart w:id="62" w:name="_Toc357410805"/>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bookmarkEnd w:id="62"/>
      <w:r>
        <w:rPr>
          <w:rFonts w:hint="eastAsia" w:ascii="仿宋_GB2312" w:hAnsi="仿宋_GB2312" w:eastAsia="仿宋_GB2312" w:cs="仿宋_GB2312"/>
          <w:sz w:val="28"/>
          <w:szCs w:val="28"/>
        </w:rPr>
        <w:t xml:space="preserve">        </w:t>
      </w:r>
    </w:p>
    <w:p>
      <w:pPr>
        <w:snapToGrid w:val="0"/>
        <w:spacing w:line="720" w:lineRule="auto"/>
        <w:jc w:val="center"/>
        <w:outlineLvl w:val="0"/>
        <w:rPr>
          <w:rStyle w:val="140"/>
          <w:rFonts w:hint="eastAsia" w:ascii="仿宋_GB2312" w:hAnsi="仿宋_GB2312" w:eastAsia="仿宋_GB2312" w:cs="仿宋_GB2312"/>
          <w:sz w:val="28"/>
          <w:szCs w:val="28"/>
        </w:rPr>
      </w:pPr>
      <w:r>
        <w:rPr>
          <w:rStyle w:val="140"/>
          <w:rFonts w:hint="eastAsia" w:ascii="仿宋_GB2312" w:hAnsi="仿宋_GB2312" w:eastAsia="仿宋_GB2312" w:cs="仿宋_GB2312"/>
          <w:sz w:val="28"/>
          <w:szCs w:val="28"/>
        </w:rPr>
        <w:br w:type="page"/>
      </w:r>
      <w:r>
        <w:rPr>
          <w:rStyle w:val="140"/>
          <w:rFonts w:hint="eastAsia" w:ascii="仿宋_GB2312" w:hAnsi="仿宋_GB2312" w:eastAsia="仿宋_GB2312" w:cs="仿宋_GB2312"/>
          <w:sz w:val="28"/>
          <w:szCs w:val="28"/>
        </w:rPr>
        <w:t xml:space="preserve"> </w:t>
      </w:r>
    </w:p>
    <w:p>
      <w:pPr>
        <w:spacing w:line="540" w:lineRule="exact"/>
        <w:jc w:val="center"/>
        <w:rPr>
          <w:rStyle w:val="140"/>
          <w:rFonts w:hint="eastAsia" w:ascii="仿宋_GB2312" w:hAnsi="仿宋_GB2312" w:eastAsia="仿宋_GB2312" w:cs="仿宋_GB2312"/>
          <w:b w:val="0"/>
          <w:sz w:val="28"/>
          <w:szCs w:val="28"/>
        </w:rPr>
      </w:pPr>
      <w:r>
        <w:rPr>
          <w:rStyle w:val="140"/>
          <w:rFonts w:hint="eastAsia" w:ascii="仿宋_GB2312" w:hAnsi="仿宋_GB2312" w:eastAsia="仿宋_GB2312" w:cs="仿宋_GB2312"/>
          <w:b w:val="0"/>
          <w:sz w:val="28"/>
          <w:szCs w:val="28"/>
        </w:rPr>
        <w:t>2 投标函</w:t>
      </w:r>
    </w:p>
    <w:p>
      <w:pPr>
        <w:spacing w:line="540" w:lineRule="exact"/>
        <w:ind w:firstLine="3920"/>
        <w:rPr>
          <w:rFonts w:hint="eastAsia" w:ascii="仿宋_GB2312" w:hAnsi="仿宋_GB2312" w:eastAsia="仿宋_GB2312" w:cs="仿宋_GB2312"/>
          <w:sz w:val="28"/>
          <w:szCs w:val="28"/>
        </w:rPr>
      </w:pPr>
    </w:p>
    <w:p>
      <w:pPr>
        <w:snapToGrid w:val="0"/>
        <w:spacing w:line="50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根据贵方为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项目的招标公告（项目编号：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），被授权代表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（全名）经正式授权并代表投标人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（投标人名称）提交电子版资格审查文件、技术商务文件、报价文件。</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据此函，被授权代表宣布同意如下：</w:t>
      </w:r>
    </w:p>
    <w:p>
      <w:pPr>
        <w:pStyle w:val="31"/>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我方向贵方提交的所有投标文件、资料都是准确的和真实的。</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我方在投标之前已经与贵方进行了充分的沟通，完全理解并接受招标文件的各项规定和要求，对招标文件的合理性、合法性不再有异议。</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4.本投标有效期自开标日起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5.如中标，本投标文件至本项目合同履行完毕止均保持有效，本投标人将按“招标文件”及政府采购法律、法规的规定履行合同责任和义务。</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6.我方同意按照贵方要求提供与投标有关的一切数据或资料。</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7.与本投标有关的一切正式往来信函请寄：</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电话：</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被授权代表姓名：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职务：</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投标人名称(公章):</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银行帐号：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被授权代表签字:</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540" w:lineRule="exact"/>
        <w:ind w:firstLine="560" w:firstLineChars="200"/>
        <w:rPr>
          <w:rFonts w:hint="eastAsia" w:ascii="仿宋_GB2312" w:hAnsi="仿宋_GB2312" w:eastAsia="仿宋_GB2312" w:cs="仿宋_GB2312"/>
          <w:sz w:val="28"/>
          <w:szCs w:val="28"/>
        </w:rPr>
        <w:sectPr>
          <w:headerReference r:id="rId12" w:type="first"/>
          <w:footerReference r:id="rId14" w:type="first"/>
          <w:headerReference r:id="rId11" w:type="even"/>
          <w:footerReference r:id="rId13" w:type="even"/>
          <w:pgSz w:w="11906" w:h="16838"/>
          <w:pgMar w:top="1389" w:right="1247" w:bottom="1389" w:left="1247" w:header="851" w:footer="992" w:gutter="284"/>
          <w:cols w:space="720" w:num="1"/>
          <w:docGrid w:linePitch="312" w:charSpace="0"/>
        </w:sectPr>
      </w:pPr>
    </w:p>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3 法定代表人（负责人）授权书</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衢州市政府采购中心：</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（投标人全称）法定代表人（负责人）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（被授权代表姓名）为全权代表，参加贵方组织的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项目（项目编号：        ），并全权处理招标活动中的一切事宜。</w:t>
      </w:r>
    </w:p>
    <w:p>
      <w:pPr>
        <w:spacing w:beforeLines="50" w:afterLines="50"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bCs/>
          <w:sz w:val="28"/>
          <w:szCs w:val="28"/>
        </w:rPr>
        <w:t>（负责人）</w:t>
      </w:r>
      <w:r>
        <w:rPr>
          <w:rFonts w:hint="eastAsia" w:ascii="仿宋_GB2312" w:hAnsi="仿宋_GB2312" w:eastAsia="仿宋_GB2312" w:cs="仿宋_GB2312"/>
          <w:sz w:val="28"/>
          <w:szCs w:val="28"/>
        </w:rPr>
        <w:t>签字或盖章：</w:t>
      </w:r>
    </w:p>
    <w:p>
      <w:pPr>
        <w:spacing w:beforeLines="50" w:afterLines="50"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投标人全称（公章）：</w:t>
      </w:r>
    </w:p>
    <w:p>
      <w:pPr>
        <w:spacing w:beforeLines="50" w:afterLines="50"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被授权代表姓名：           性别：</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                   职称：</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详细通讯地址：</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                   传真：</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移动电话：</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bCs/>
          <w:sz w:val="28"/>
          <w:szCs w:val="28"/>
        </w:rPr>
        <w:t>法定代表人（负责人）授权书原件在递交投标文件时单独提供，无需密封进投标文件</w:t>
      </w:r>
      <w:r>
        <w:rPr>
          <w:rFonts w:hint="eastAsia" w:ascii="仿宋_GB2312" w:hAnsi="仿宋_GB2312" w:eastAsia="仿宋_GB2312" w:cs="仿宋_GB2312"/>
          <w:b/>
          <w:bCs/>
          <w:sz w:val="28"/>
          <w:szCs w:val="28"/>
        </w:rPr>
        <w:t>。</w:t>
      </w:r>
    </w:p>
    <w:p>
      <w:pPr>
        <w:spacing w:line="540" w:lineRule="exact"/>
        <w:rPr>
          <w:rFonts w:hint="eastAsia" w:ascii="仿宋_GB2312" w:hAnsi="仿宋_GB2312" w:eastAsia="仿宋_GB2312" w:cs="仿宋_GB2312"/>
          <w:sz w:val="28"/>
          <w:szCs w:val="28"/>
        </w:rPr>
      </w:pPr>
    </w:p>
    <w:p>
      <w:pPr>
        <w:spacing w:line="540" w:lineRule="exact"/>
        <w:jc w:val="cente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br w:type="page"/>
      </w:r>
    </w:p>
    <w:p>
      <w:pPr>
        <w:pStyle w:val="283"/>
        <w:spacing w:line="540" w:lineRule="exact"/>
        <w:ind w:firstLine="3080" w:firstLineChars="1100"/>
        <w:rPr>
          <w:rFonts w:hint="eastAsia" w:ascii="仿宋_GB2312" w:hAnsi="仿宋_GB2312" w:eastAsia="仿宋_GB2312" w:cs="仿宋_GB2312"/>
          <w:sz w:val="28"/>
          <w:szCs w:val="28"/>
          <w:lang w:eastAsia="zh-CN"/>
        </w:rPr>
      </w:pPr>
      <w:bookmarkStart w:id="63" w:name="_Toc24708487"/>
      <w:r>
        <w:rPr>
          <w:rFonts w:hint="eastAsia" w:ascii="仿宋_GB2312" w:hAnsi="仿宋_GB2312" w:eastAsia="仿宋_GB2312" w:cs="仿宋_GB2312"/>
          <w:sz w:val="28"/>
          <w:szCs w:val="28"/>
          <w:lang w:eastAsia="zh-CN"/>
        </w:rPr>
        <w:t>4报价一览表</w:t>
      </w:r>
      <w:bookmarkEnd w:id="63"/>
    </w:p>
    <w:p>
      <w:pPr>
        <w:pStyle w:val="283"/>
        <w:spacing w:line="540" w:lineRule="exact"/>
        <w:ind w:firstLine="4480" w:firstLineChars="1600"/>
        <w:outlineLvl w:val="0"/>
        <w:rPr>
          <w:rFonts w:hint="eastAsia" w:ascii="仿宋_GB2312" w:hAnsi="仿宋_GB2312" w:eastAsia="仿宋_GB2312" w:cs="仿宋_GB2312"/>
          <w:sz w:val="28"/>
          <w:szCs w:val="28"/>
          <w:lang w:eastAsia="zh-CN"/>
        </w:rPr>
      </w:pPr>
    </w:p>
    <w:tbl>
      <w:tblPr>
        <w:tblStyle w:val="59"/>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862"/>
        <w:gridCol w:w="1962"/>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167" w:type="dxa"/>
            <w:vAlign w:val="center"/>
          </w:tcPr>
          <w:p>
            <w:pPr>
              <w:pStyle w:val="283"/>
              <w:spacing w:line="5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1862"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项目名称</w:t>
            </w:r>
          </w:p>
        </w:tc>
        <w:tc>
          <w:tcPr>
            <w:tcW w:w="1962"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存款期限（年）</w:t>
            </w:r>
          </w:p>
        </w:tc>
        <w:tc>
          <w:tcPr>
            <w:tcW w:w="3771"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定期存款年利率报价</w:t>
            </w:r>
          </w:p>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（％）（最多保留3位小数）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jc w:val="center"/>
        </w:trPr>
        <w:tc>
          <w:tcPr>
            <w:tcW w:w="1167" w:type="dxa"/>
            <w:vAlign w:val="center"/>
          </w:tcPr>
          <w:p>
            <w:pPr>
              <w:pStyle w:val="283"/>
              <w:spacing w:line="5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１</w:t>
            </w:r>
          </w:p>
        </w:tc>
        <w:tc>
          <w:tcPr>
            <w:tcW w:w="1862" w:type="dxa"/>
            <w:vAlign w:val="center"/>
          </w:tcPr>
          <w:p>
            <w:pPr>
              <w:pStyle w:val="39"/>
              <w:spacing w:line="540" w:lineRule="exact"/>
              <w:ind w:firstLine="4340" w:firstLineChars="1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22021年第2期衢州市政府性资金结算平台资金竞争性存放</w:t>
            </w:r>
          </w:p>
        </w:tc>
        <w:tc>
          <w:tcPr>
            <w:tcW w:w="1962"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一</w:t>
            </w:r>
          </w:p>
        </w:tc>
        <w:tc>
          <w:tcPr>
            <w:tcW w:w="3771" w:type="dxa"/>
            <w:vAlign w:val="center"/>
          </w:tcPr>
          <w:p>
            <w:pPr>
              <w:pStyle w:val="283"/>
              <w:spacing w:line="540" w:lineRule="exact"/>
              <w:jc w:val="center"/>
              <w:rPr>
                <w:rFonts w:hint="eastAsia" w:ascii="仿宋_GB2312" w:hAnsi="仿宋_GB2312" w:eastAsia="仿宋_GB2312" w:cs="仿宋_GB2312"/>
                <w:bCs/>
                <w:sz w:val="28"/>
                <w:szCs w:val="28"/>
                <w:lang w:eastAsia="zh-CN"/>
              </w:rPr>
            </w:pPr>
          </w:p>
        </w:tc>
      </w:tr>
    </w:tbl>
    <w:p>
      <w:pPr>
        <w:pStyle w:val="283"/>
        <w:spacing w:line="540" w:lineRule="exact"/>
        <w:ind w:firstLine="4480" w:firstLineChars="1600"/>
        <w:outlineLvl w:val="0"/>
        <w:rPr>
          <w:rFonts w:hint="eastAsia" w:ascii="仿宋_GB2312" w:hAnsi="仿宋_GB2312" w:eastAsia="仿宋_GB2312" w:cs="仿宋_GB2312"/>
          <w:sz w:val="28"/>
          <w:szCs w:val="28"/>
          <w:u w:val="single"/>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单位名称：            </w:t>
      </w: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法定代表人（或负责人）（签字）：</w:t>
      </w:r>
    </w:p>
    <w:p>
      <w:pPr>
        <w:spacing w:line="5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年    月    日</w:t>
      </w: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outlineLvl w:val="0"/>
        <w:rPr>
          <w:rFonts w:hint="eastAsia" w:ascii="仿宋_GB2312" w:hAnsi="仿宋_GB2312" w:eastAsia="仿宋_GB2312" w:cs="仿宋_GB2312"/>
          <w:b/>
          <w:bCs/>
          <w:sz w:val="28"/>
          <w:szCs w:val="28"/>
          <w:lang w:eastAsia="zh-CN"/>
        </w:rPr>
      </w:pPr>
      <w:bookmarkStart w:id="64" w:name="_Toc24708488"/>
    </w:p>
    <w:p>
      <w:pPr>
        <w:pStyle w:val="283"/>
        <w:spacing w:line="540" w:lineRule="exact"/>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5 中标承诺书</w:t>
      </w:r>
      <w:bookmarkEnd w:id="64"/>
    </w:p>
    <w:p>
      <w:pPr>
        <w:spacing w:line="5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中 标 承 诺 书</w:t>
      </w: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 xml:space="preserve">衢州市财政国库支付中心： </w:t>
      </w:r>
    </w:p>
    <w:p>
      <w:pPr>
        <w:spacing w:line="54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我单位若成为</w:t>
      </w:r>
      <w:r>
        <w:rPr>
          <w:rFonts w:hint="eastAsia" w:ascii="仿宋_GB2312" w:hAnsi="仿宋_GB2312" w:eastAsia="仿宋_GB2312" w:cs="仿宋_GB2312"/>
          <w:bCs/>
          <w:sz w:val="28"/>
          <w:szCs w:val="28"/>
        </w:rPr>
        <w:t>___________项目</w:t>
      </w:r>
      <w:r>
        <w:rPr>
          <w:rFonts w:hint="eastAsia" w:ascii="仿宋_GB2312" w:hAnsi="仿宋_GB2312" w:eastAsia="仿宋_GB2312" w:cs="仿宋_GB2312"/>
          <w:bCs/>
          <w:kern w:val="0"/>
          <w:sz w:val="28"/>
          <w:szCs w:val="28"/>
        </w:rPr>
        <w:t>存放中标人，承诺：</w:t>
      </w:r>
    </w:p>
    <w:p>
      <w:pPr>
        <w:spacing w:line="54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1、我单位将根据招标文件中相关规定，以面值相当于中标金额120%的可流通债券</w:t>
      </w:r>
      <w:r>
        <w:rPr>
          <w:rFonts w:hint="eastAsia" w:ascii="仿宋_GB2312" w:hAnsi="仿宋_GB2312" w:eastAsia="仿宋_GB2312" w:cs="仿宋_GB2312"/>
          <w:sz w:val="28"/>
          <w:szCs w:val="28"/>
        </w:rPr>
        <w:t>（或国债、有价证券）</w:t>
      </w:r>
      <w:r>
        <w:rPr>
          <w:rFonts w:hint="eastAsia" w:ascii="仿宋_GB2312" w:hAnsi="仿宋_GB2312" w:eastAsia="仿宋_GB2312" w:cs="仿宋_GB2312"/>
          <w:bCs/>
          <w:kern w:val="0"/>
          <w:sz w:val="28"/>
          <w:szCs w:val="28"/>
        </w:rPr>
        <w:t>做质押或提供其他商业银行的保证，否则放弃中标。</w:t>
      </w:r>
    </w:p>
    <w:p>
      <w:pPr>
        <w:spacing w:line="54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2、我单位将根据招标文件中相关规定，签订</w:t>
      </w:r>
      <w:r>
        <w:rPr>
          <w:rFonts w:hint="eastAsia" w:ascii="仿宋_GB2312" w:hAnsi="仿宋_GB2312" w:eastAsia="仿宋_GB2312" w:cs="仿宋_GB2312"/>
          <w:sz w:val="28"/>
          <w:szCs w:val="28"/>
        </w:rPr>
        <w:t>定期存款</w:t>
      </w:r>
      <w:r>
        <w:rPr>
          <w:rFonts w:hint="eastAsia" w:ascii="仿宋_GB2312" w:hAnsi="仿宋_GB2312" w:eastAsia="仿宋_GB2312" w:cs="仿宋_GB2312"/>
          <w:bCs/>
          <w:kern w:val="0"/>
          <w:sz w:val="28"/>
          <w:szCs w:val="28"/>
        </w:rPr>
        <w:t>协议、提供存款证明（存单），否则放弃中标。</w:t>
      </w: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单位名称（公章）：             法定代表人（或在衢</w:t>
      </w:r>
    </w:p>
    <w:p>
      <w:pPr>
        <w:pStyle w:val="283"/>
        <w:spacing w:line="540" w:lineRule="exact"/>
        <w:ind w:firstLine="4340" w:firstLineChars="155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机构负责人）（签字）：</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年    月    日</w:t>
      </w: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center"/>
        <w:rPr>
          <w:rFonts w:hint="eastAsia" w:ascii="仿宋_GB2312" w:hAnsi="仿宋_GB2312" w:eastAsia="仿宋_GB2312" w:cs="仿宋_GB2312"/>
          <w:b/>
          <w:bCs/>
          <w:sz w:val="28"/>
          <w:szCs w:val="28"/>
          <w:lang w:eastAsia="zh-CN"/>
        </w:rPr>
      </w:pPr>
      <w:bookmarkStart w:id="65" w:name="_Toc24708489"/>
      <w:r>
        <w:rPr>
          <w:rFonts w:hint="eastAsia" w:ascii="仿宋_GB2312" w:hAnsi="仿宋_GB2312" w:eastAsia="仿宋_GB2312" w:cs="仿宋_GB2312"/>
          <w:b/>
          <w:bCs/>
          <w:sz w:val="28"/>
          <w:szCs w:val="28"/>
          <w:lang w:eastAsia="zh-CN"/>
        </w:rPr>
        <w:t>6  廉政承诺书</w:t>
      </w:r>
      <w:bookmarkEnd w:id="65"/>
    </w:p>
    <w:p>
      <w:pPr>
        <w:spacing w:line="5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廉 政 承 诺 书</w:t>
      </w:r>
    </w:p>
    <w:p>
      <w:pPr>
        <w:pStyle w:val="283"/>
        <w:spacing w:line="540" w:lineRule="exact"/>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衢州市财政国库支付中心：</w:t>
      </w:r>
    </w:p>
    <w:p>
      <w:pPr>
        <w:pStyle w:val="39"/>
        <w:spacing w:line="540" w:lineRule="exact"/>
        <w:ind w:firstLine="840" w:firstLineChars="3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根据《财政部关于进一步加强财政部门和预算单位资金存放管理的指导意见》（</w:t>
      </w:r>
      <w:r>
        <w:rPr>
          <w:rFonts w:hint="eastAsia" w:ascii="仿宋_GB2312" w:hAnsi="仿宋_GB2312" w:eastAsia="仿宋_GB2312" w:cs="仿宋_GB2312"/>
          <w:kern w:val="0"/>
          <w:sz w:val="28"/>
          <w:szCs w:val="28"/>
        </w:rPr>
        <w:t>财库</w:t>
      </w:r>
      <w:r>
        <w:rPr>
          <w:rFonts w:hint="eastAsia" w:ascii="仿宋_GB2312" w:hAnsi="仿宋_GB2312" w:eastAsia="仿宋_GB2312" w:cs="仿宋_GB2312"/>
          <w:sz w:val="28"/>
          <w:szCs w:val="28"/>
        </w:rPr>
        <w:t>﹝2017﹞76号</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kern w:val="0"/>
          <w:sz w:val="28"/>
          <w:szCs w:val="28"/>
        </w:rPr>
        <w:t>《浙江省财政专户资金存放管理实施办法》（浙财预执</w:t>
      </w:r>
      <w:r>
        <w:rPr>
          <w:rFonts w:hint="eastAsia" w:ascii="仿宋_GB2312" w:hAnsi="仿宋_GB2312" w:eastAsia="仿宋_GB2312" w:cs="仿宋_GB2312"/>
          <w:sz w:val="28"/>
          <w:szCs w:val="28"/>
        </w:rPr>
        <w:t>﹝2017﹞86号</w:t>
      </w:r>
      <w:r>
        <w:rPr>
          <w:rFonts w:hint="eastAsia" w:ascii="仿宋_GB2312" w:hAnsi="仿宋_GB2312" w:eastAsia="仿宋_GB2312" w:cs="仿宋_GB2312"/>
          <w:kern w:val="0"/>
          <w:sz w:val="28"/>
          <w:szCs w:val="28"/>
        </w:rPr>
        <w:t>）相关规定，现就本行参加贵单位</w:t>
      </w:r>
      <w:r>
        <w:rPr>
          <w:rFonts w:hint="eastAsia" w:ascii="仿宋_GB2312" w:hAnsi="仿宋_GB2312" w:eastAsia="仿宋_GB2312" w:cs="仿宋_GB2312"/>
          <w:sz w:val="28"/>
          <w:szCs w:val="28"/>
        </w:rPr>
        <w:t>2021年第2期衢州市政府性资金结算平台资金竞争性存放</w:t>
      </w:r>
      <w:r>
        <w:rPr>
          <w:rFonts w:hint="eastAsia" w:ascii="仿宋_GB2312" w:hAnsi="仿宋_GB2312" w:eastAsia="仿宋_GB2312" w:cs="仿宋_GB2312"/>
          <w:bCs/>
          <w:sz w:val="28"/>
          <w:szCs w:val="28"/>
        </w:rPr>
        <w:t>项目</w:t>
      </w:r>
      <w:r>
        <w:rPr>
          <w:rFonts w:hint="eastAsia" w:ascii="仿宋_GB2312" w:hAnsi="仿宋_GB2312" w:eastAsia="仿宋_GB2312" w:cs="仿宋_GB2312"/>
          <w:kern w:val="0"/>
          <w:sz w:val="28"/>
          <w:szCs w:val="28"/>
        </w:rPr>
        <w:t>竞争性存放</w:t>
      </w:r>
      <w:r>
        <w:rPr>
          <w:rFonts w:hint="eastAsia" w:ascii="仿宋_GB2312" w:hAnsi="仿宋_GB2312" w:eastAsia="仿宋_GB2312" w:cs="仿宋_GB2312"/>
          <w:bCs/>
          <w:kern w:val="0"/>
          <w:sz w:val="28"/>
          <w:szCs w:val="28"/>
        </w:rPr>
        <w:t>作出如下承诺：</w:t>
      </w:r>
    </w:p>
    <w:p>
      <w:pPr>
        <w:pStyle w:val="39"/>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1、不向贵单位负责</w:t>
      </w:r>
      <w:r>
        <w:rPr>
          <w:rFonts w:hint="eastAsia" w:ascii="仿宋_GB2312" w:hAnsi="仿宋_GB2312" w:eastAsia="仿宋_GB2312" w:cs="仿宋_GB2312"/>
          <w:sz w:val="28"/>
          <w:szCs w:val="28"/>
        </w:rPr>
        <w:t>2021年第2期衢州市政府性资金结算平台资金竞争性存放</w:t>
      </w:r>
      <w:r>
        <w:rPr>
          <w:rFonts w:hint="eastAsia" w:ascii="仿宋_GB2312" w:hAnsi="仿宋_GB2312" w:eastAsia="仿宋_GB2312" w:cs="仿宋_GB2312"/>
          <w:bCs/>
          <w:sz w:val="28"/>
          <w:szCs w:val="28"/>
        </w:rPr>
        <w:t>项目</w:t>
      </w:r>
      <w:r>
        <w:rPr>
          <w:rFonts w:hint="eastAsia" w:ascii="仿宋_GB2312" w:hAnsi="仿宋_GB2312" w:eastAsia="仿宋_GB2312" w:cs="仿宋_GB2312"/>
          <w:bCs/>
          <w:kern w:val="0"/>
          <w:sz w:val="28"/>
          <w:szCs w:val="28"/>
        </w:rPr>
        <w:t>的领导及相关人员进行利益输送；</w:t>
      </w:r>
    </w:p>
    <w:p>
      <w:pPr>
        <w:pStyle w:val="39"/>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2、不将</w:t>
      </w:r>
      <w:r>
        <w:rPr>
          <w:rFonts w:hint="eastAsia" w:ascii="仿宋_GB2312" w:hAnsi="仿宋_GB2312" w:eastAsia="仿宋_GB2312" w:cs="仿宋_GB2312"/>
          <w:sz w:val="28"/>
          <w:szCs w:val="28"/>
        </w:rPr>
        <w:t>2021年第2期衢州市政府性资金结算平台资金竞争性存放</w:t>
      </w:r>
      <w:r>
        <w:rPr>
          <w:rFonts w:hint="eastAsia" w:ascii="仿宋_GB2312" w:hAnsi="仿宋_GB2312" w:eastAsia="仿宋_GB2312" w:cs="仿宋_GB2312"/>
          <w:bCs/>
          <w:kern w:val="0"/>
          <w:sz w:val="28"/>
          <w:szCs w:val="28"/>
        </w:rPr>
        <w:t>与贵单位负责</w:t>
      </w:r>
      <w:r>
        <w:rPr>
          <w:rFonts w:hint="eastAsia" w:ascii="仿宋_GB2312" w:hAnsi="仿宋_GB2312" w:eastAsia="仿宋_GB2312" w:cs="仿宋_GB2312"/>
          <w:sz w:val="28"/>
          <w:szCs w:val="28"/>
        </w:rPr>
        <w:t>2021年第2期衢州市政府性资金结算平台资金竞争性存放</w:t>
      </w:r>
      <w:r>
        <w:rPr>
          <w:rFonts w:hint="eastAsia" w:ascii="仿宋_GB2312" w:hAnsi="仿宋_GB2312" w:eastAsia="仿宋_GB2312" w:cs="仿宋_GB2312"/>
          <w:bCs/>
          <w:kern w:val="0"/>
          <w:sz w:val="28"/>
          <w:szCs w:val="28"/>
        </w:rPr>
        <w:t>的领导及相关人员在本行的配偶、子女及其配偶和其他直接利益相关人员的业绩、收入、晋升挂钩；</w:t>
      </w:r>
    </w:p>
    <w:p>
      <w:pPr>
        <w:pStyle w:val="39"/>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3、严格执行利益回避制度，</w:t>
      </w:r>
      <w:r>
        <w:rPr>
          <w:rFonts w:hint="eastAsia" w:ascii="仿宋_GB2312" w:hAnsi="仿宋_GB2312" w:eastAsia="仿宋_GB2312" w:cs="仿宋_GB2312"/>
          <w:bCs/>
          <w:kern w:val="0"/>
          <w:sz w:val="28"/>
          <w:szCs w:val="28"/>
        </w:rPr>
        <w:t>贵单位负责</w:t>
      </w:r>
      <w:r>
        <w:rPr>
          <w:rFonts w:hint="eastAsia" w:ascii="仿宋_GB2312" w:hAnsi="仿宋_GB2312" w:eastAsia="仿宋_GB2312" w:cs="仿宋_GB2312"/>
          <w:sz w:val="28"/>
          <w:szCs w:val="28"/>
        </w:rPr>
        <w:t>2021年第2期衢州市政府性资金结算平台资金竞争性存放</w:t>
      </w:r>
      <w:r>
        <w:rPr>
          <w:rFonts w:hint="eastAsia" w:ascii="仿宋_GB2312" w:hAnsi="仿宋_GB2312" w:eastAsia="仿宋_GB2312" w:cs="仿宋_GB2312"/>
          <w:bCs/>
          <w:sz w:val="28"/>
          <w:szCs w:val="28"/>
        </w:rPr>
        <w:t>项目</w:t>
      </w:r>
      <w:r>
        <w:rPr>
          <w:rFonts w:hint="eastAsia" w:ascii="仿宋_GB2312" w:hAnsi="仿宋_GB2312" w:eastAsia="仿宋_GB2312" w:cs="仿宋_GB2312"/>
          <w:bCs/>
          <w:kern w:val="0"/>
          <w:sz w:val="28"/>
          <w:szCs w:val="28"/>
        </w:rPr>
        <w:t>相关人员的配偶、子女及其配偶和其他直接利益相关人员为本行工作人员的，不参加</w:t>
      </w:r>
      <w:r>
        <w:rPr>
          <w:rFonts w:hint="eastAsia" w:ascii="仿宋_GB2312" w:hAnsi="仿宋_GB2312" w:eastAsia="仿宋_GB2312" w:cs="仿宋_GB2312"/>
          <w:sz w:val="28"/>
          <w:szCs w:val="28"/>
        </w:rPr>
        <w:t>2021年第2期衢州市政府性资金结算平台资金竞争性存放</w:t>
      </w:r>
      <w:r>
        <w:rPr>
          <w:rFonts w:hint="eastAsia" w:ascii="仿宋_GB2312" w:hAnsi="仿宋_GB2312" w:eastAsia="仿宋_GB2312" w:cs="仿宋_GB2312"/>
          <w:bCs/>
          <w:kern w:val="0"/>
          <w:sz w:val="28"/>
          <w:szCs w:val="28"/>
        </w:rPr>
        <w:t>工作；</w:t>
      </w:r>
    </w:p>
    <w:p>
      <w:pPr>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4、不发生除上述行为之外的其他任何利益输送行为。</w:t>
      </w:r>
    </w:p>
    <w:p>
      <w:pPr>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未遵守以上承诺的，本行自愿接受财政部门通报和处理，承担相应的一切后果。</w:t>
      </w: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银行（公章）</w:t>
      </w:r>
    </w:p>
    <w:p>
      <w:pPr>
        <w:spacing w:line="540" w:lineRule="exact"/>
        <w:rPr>
          <w:rFonts w:hint="eastAsia" w:ascii="仿宋_GB2312" w:hAnsi="仿宋_GB2312" w:eastAsia="仿宋_GB2312" w:cs="仿宋_GB2312"/>
          <w:sz w:val="28"/>
          <w:szCs w:val="28"/>
        </w:rPr>
      </w:pPr>
    </w:p>
    <w:p>
      <w:pPr>
        <w:spacing w:line="540" w:lineRule="exact"/>
        <w:rPr>
          <w:rStyle w:val="140"/>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年    月    日</w:t>
      </w:r>
    </w:p>
    <w:p>
      <w:pPr>
        <w:autoSpaceDE w:val="0"/>
        <w:autoSpaceDN w:val="0"/>
        <w:adjustRightInd w:val="0"/>
        <w:spacing w:line="540" w:lineRule="exact"/>
        <w:jc w:val="center"/>
        <w:outlineLvl w:val="0"/>
        <w:rPr>
          <w:rFonts w:hint="eastAsia" w:ascii="仿宋_GB2312" w:hAnsi="仿宋_GB2312" w:eastAsia="仿宋_GB2312" w:cs="仿宋_GB2312"/>
          <w:b/>
          <w:bCs/>
          <w:sz w:val="28"/>
          <w:szCs w:val="28"/>
        </w:rPr>
      </w:pPr>
      <w:bookmarkStart w:id="66" w:name="_Toc75962264"/>
      <w:bookmarkStart w:id="67" w:name="_Toc354401539"/>
      <w:bookmarkStart w:id="68" w:name="_Toc316887628"/>
      <w:bookmarkStart w:id="69" w:name="_Toc322352986"/>
      <w:bookmarkStart w:id="70" w:name="_Toc350256317"/>
      <w:r>
        <w:rPr>
          <w:rFonts w:hint="eastAsia" w:ascii="仿宋_GB2312" w:hAnsi="仿宋_GB2312" w:eastAsia="仿宋_GB2312" w:cs="仿宋_GB2312"/>
          <w:b/>
          <w:bCs/>
          <w:sz w:val="28"/>
          <w:szCs w:val="28"/>
          <w:lang w:val="zh-CN"/>
        </w:rPr>
        <w:t>第六章</w:t>
      </w:r>
      <w:r>
        <w:rPr>
          <w:rFonts w:hint="eastAsia" w:ascii="仿宋_GB2312" w:hAnsi="仿宋_GB2312" w:eastAsia="仿宋_GB2312" w:cs="仿宋_GB2312"/>
          <w:b/>
          <w:bCs/>
          <w:sz w:val="28"/>
          <w:szCs w:val="28"/>
        </w:rPr>
        <w:t xml:space="preserve">  </w:t>
      </w:r>
      <w:bookmarkStart w:id="71" w:name="评标办法及开标程序"/>
      <w:r>
        <w:rPr>
          <w:rFonts w:hint="eastAsia" w:ascii="仿宋_GB2312" w:hAnsi="仿宋_GB2312" w:eastAsia="仿宋_GB2312" w:cs="仿宋_GB2312"/>
          <w:b/>
          <w:bCs/>
          <w:sz w:val="28"/>
          <w:szCs w:val="28"/>
          <w:lang w:val="zh-CN"/>
        </w:rPr>
        <w:t>评标办法及开标程序</w:t>
      </w:r>
      <w:bookmarkEnd w:id="66"/>
      <w:bookmarkEnd w:id="67"/>
      <w:bookmarkEnd w:id="68"/>
      <w:bookmarkEnd w:id="69"/>
      <w:bookmarkEnd w:id="70"/>
      <w:bookmarkEnd w:id="71"/>
    </w:p>
    <w:p>
      <w:pPr>
        <w:autoSpaceDE w:val="0"/>
        <w:autoSpaceDN w:val="0"/>
        <w:adjustRightInd w:val="0"/>
        <w:snapToGrid w:val="0"/>
        <w:spacing w:line="540" w:lineRule="exact"/>
        <w:ind w:left="425"/>
        <w:outlineLvl w:val="1"/>
        <w:rPr>
          <w:rFonts w:hint="eastAsia" w:ascii="仿宋_GB2312" w:hAnsi="仿宋_GB2312" w:eastAsia="仿宋_GB2312" w:cs="仿宋_GB2312"/>
          <w:bCs/>
          <w:sz w:val="28"/>
          <w:szCs w:val="28"/>
          <w:lang w:val="zh-CN"/>
        </w:rPr>
      </w:pPr>
      <w:bookmarkStart w:id="72" w:name="_Toc24708493"/>
      <w:bookmarkStart w:id="73" w:name="_Toc75962265"/>
      <w:r>
        <w:rPr>
          <w:rFonts w:hint="eastAsia" w:ascii="仿宋_GB2312" w:hAnsi="仿宋_GB2312" w:eastAsia="仿宋_GB2312" w:cs="仿宋_GB2312"/>
          <w:bCs/>
          <w:sz w:val="28"/>
          <w:szCs w:val="28"/>
          <w:lang w:val="zh-CN"/>
        </w:rPr>
        <w:t>一、评标委员会的组成</w:t>
      </w:r>
      <w:bookmarkEnd w:id="72"/>
      <w:bookmarkEnd w:id="73"/>
    </w:p>
    <w:p>
      <w:pPr>
        <w:autoSpaceDE w:val="0"/>
        <w:autoSpaceDN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1.评标委员会由5人组成。</w:t>
      </w:r>
    </w:p>
    <w:p>
      <w:pPr>
        <w:autoSpaceDE w:val="0"/>
        <w:autoSpaceDN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Cs/>
          <w:sz w:val="28"/>
          <w:szCs w:val="28"/>
          <w:lang w:val="zh-CN"/>
        </w:rPr>
        <w:t>、</w:t>
      </w:r>
      <w:r>
        <w:rPr>
          <w:rFonts w:hint="eastAsia" w:ascii="仿宋_GB2312" w:hAnsi="仿宋_GB2312" w:eastAsia="仿宋_GB2312" w:cs="仿宋_GB2312"/>
          <w:sz w:val="28"/>
          <w:szCs w:val="28"/>
        </w:rPr>
        <w:t>评标原则及</w:t>
      </w:r>
      <w:r>
        <w:rPr>
          <w:rFonts w:hint="eastAsia" w:ascii="仿宋_GB2312" w:hAnsi="仿宋_GB2312" w:eastAsia="仿宋_GB2312" w:cs="仿宋_GB2312"/>
          <w:bCs/>
          <w:sz w:val="28"/>
          <w:szCs w:val="28"/>
        </w:rPr>
        <w:t>中标金额分配</w:t>
      </w:r>
    </w:p>
    <w:p>
      <w:pPr>
        <w:pStyle w:val="23"/>
        <w:tabs>
          <w:tab w:val="left" w:pos="900"/>
        </w:tabs>
        <w:spacing w:line="540" w:lineRule="exact"/>
        <w:ind w:firstLine="480" w:firstLineChars="150"/>
        <w:outlineLvl w:val="2"/>
        <w:rPr>
          <w:rFonts w:hint="eastAsia" w:ascii="仿宋_GB2312" w:hAnsi="仿宋_GB2312" w:eastAsia="仿宋_GB2312" w:cs="仿宋_GB2312"/>
          <w:b w:val="0"/>
          <w:kern w:val="0"/>
          <w:sz w:val="28"/>
          <w:szCs w:val="28"/>
        </w:rPr>
      </w:pPr>
      <w:bookmarkStart w:id="74" w:name="_Toc24708494"/>
      <w:bookmarkStart w:id="75" w:name="_Toc75962266"/>
      <w:r>
        <w:rPr>
          <w:rFonts w:hint="eastAsia" w:ascii="仿宋_GB2312" w:hAnsi="仿宋_GB2312" w:eastAsia="仿宋_GB2312" w:cs="仿宋_GB2312"/>
          <w:b w:val="0"/>
          <w:sz w:val="28"/>
          <w:szCs w:val="28"/>
        </w:rPr>
        <w:t>3、</w:t>
      </w:r>
      <w:r>
        <w:rPr>
          <w:rFonts w:hint="eastAsia" w:ascii="仿宋_GB2312" w:hAnsi="仿宋_GB2312" w:eastAsia="仿宋_GB2312" w:cs="仿宋_GB2312"/>
          <w:b w:val="0"/>
          <w:spacing w:val="0"/>
          <w:kern w:val="0"/>
          <w:sz w:val="28"/>
          <w:szCs w:val="28"/>
        </w:rPr>
        <w:t>本项目评标总分值100分。在各类指标中，</w:t>
      </w:r>
      <w:r>
        <w:rPr>
          <w:rFonts w:hint="eastAsia" w:ascii="仿宋_GB2312" w:hAnsi="仿宋_GB2312" w:eastAsia="仿宋_GB2312" w:cs="仿宋_GB2312"/>
          <w:b w:val="0"/>
          <w:sz w:val="28"/>
          <w:szCs w:val="28"/>
        </w:rPr>
        <w:t>评标委员会各成员所评分值的算术平均值为</w:t>
      </w:r>
      <w:r>
        <w:rPr>
          <w:rFonts w:hint="eastAsia" w:ascii="仿宋_GB2312" w:hAnsi="仿宋_GB2312" w:eastAsia="仿宋_GB2312" w:cs="仿宋_GB2312"/>
          <w:b w:val="0"/>
          <w:spacing w:val="0"/>
          <w:kern w:val="0"/>
          <w:sz w:val="28"/>
          <w:szCs w:val="28"/>
        </w:rPr>
        <w:t>综合得分；按综合得分高到低顺序排列（四舍五入保留2位小数），如竞标银行综合得分相同时，依次按竞标银行利率水平得分、</w:t>
      </w:r>
      <w:r>
        <w:rPr>
          <w:rFonts w:hint="eastAsia" w:ascii="仿宋_GB2312" w:hAnsi="仿宋_GB2312" w:eastAsia="仿宋_GB2312" w:cs="仿宋_GB2312"/>
          <w:b w:val="0"/>
          <w:spacing w:val="10"/>
          <w:kern w:val="0"/>
          <w:sz w:val="28"/>
          <w:szCs w:val="28"/>
        </w:rPr>
        <w:t>经营状况</w:t>
      </w:r>
      <w:r>
        <w:rPr>
          <w:rFonts w:hint="eastAsia" w:ascii="仿宋_GB2312" w:hAnsi="仿宋_GB2312" w:eastAsia="仿宋_GB2312" w:cs="仿宋_GB2312"/>
          <w:b w:val="0"/>
          <w:spacing w:val="0"/>
          <w:kern w:val="0"/>
          <w:sz w:val="28"/>
          <w:szCs w:val="28"/>
        </w:rPr>
        <w:t>指标得分、经济贡献度指标得分、服务水平指标得分的高低确定名次</w:t>
      </w:r>
      <w:r>
        <w:rPr>
          <w:rFonts w:hint="eastAsia" w:ascii="仿宋_GB2312" w:hAnsi="仿宋_GB2312" w:eastAsia="仿宋_GB2312" w:cs="仿宋_GB2312"/>
          <w:b w:val="0"/>
          <w:sz w:val="28"/>
          <w:szCs w:val="28"/>
        </w:rPr>
        <w:t>。</w:t>
      </w:r>
      <w:bookmarkEnd w:id="74"/>
      <w:r>
        <w:rPr>
          <w:rFonts w:hint="eastAsia" w:ascii="仿宋_GB2312" w:hAnsi="仿宋_GB2312" w:eastAsia="仿宋_GB2312" w:cs="仿宋_GB2312"/>
          <w:b w:val="0"/>
          <w:sz w:val="28"/>
          <w:szCs w:val="28"/>
        </w:rPr>
        <w:t>如出现中标家数不足15名，则未分配完资金按中标单位中标金额比例分配。</w:t>
      </w:r>
      <w:bookmarkEnd w:id="75"/>
    </w:p>
    <w:p>
      <w:pPr>
        <w:pStyle w:val="23"/>
        <w:tabs>
          <w:tab w:val="left" w:pos="900"/>
        </w:tabs>
        <w:spacing w:line="540" w:lineRule="exact"/>
        <w:ind w:firstLine="480" w:firstLineChars="150"/>
        <w:outlineLvl w:val="2"/>
        <w:rPr>
          <w:rFonts w:hint="eastAsia" w:ascii="仿宋_GB2312" w:hAnsi="仿宋_GB2312" w:eastAsia="仿宋_GB2312" w:cs="仿宋_GB2312"/>
          <w:b w:val="0"/>
          <w:bCs w:val="0"/>
          <w:sz w:val="28"/>
          <w:szCs w:val="28"/>
        </w:rPr>
      </w:pPr>
      <w:bookmarkStart w:id="76" w:name="_Toc75962267"/>
      <w:bookmarkStart w:id="77" w:name="_Toc24708495"/>
      <w:r>
        <w:rPr>
          <w:rFonts w:hint="eastAsia" w:ascii="仿宋_GB2312" w:hAnsi="仿宋_GB2312" w:eastAsia="仿宋_GB2312" w:cs="仿宋_GB2312"/>
          <w:b w:val="0"/>
          <w:sz w:val="28"/>
          <w:szCs w:val="28"/>
        </w:rPr>
        <w:t>4</w:t>
      </w:r>
      <w:r>
        <w:rPr>
          <w:rFonts w:hint="eastAsia" w:ascii="仿宋_GB2312" w:hAnsi="仿宋_GB2312" w:eastAsia="仿宋_GB2312" w:cs="仿宋_GB2312"/>
          <w:b w:val="0"/>
          <w:bCs w:val="0"/>
          <w:sz w:val="28"/>
          <w:szCs w:val="28"/>
        </w:rPr>
        <w:t>.中标金额分配</w:t>
      </w:r>
      <w:bookmarkEnd w:id="76"/>
      <w:bookmarkEnd w:id="77"/>
    </w:p>
    <w:p>
      <w:pPr>
        <w:pStyle w:val="282"/>
        <w:spacing w:line="540" w:lineRule="exact"/>
        <w:ind w:firstLine="560" w:firstLineChars="200"/>
        <w:jc w:val="both"/>
        <w:rPr>
          <w:rFonts w:hint="eastAsia" w:ascii="仿宋_GB2312" w:hAnsi="仿宋_GB2312" w:eastAsia="仿宋_GB2312" w:cs="仿宋_GB2312"/>
          <w:color w:val="auto"/>
          <w:spacing w:val="10"/>
          <w:sz w:val="28"/>
          <w:szCs w:val="28"/>
        </w:rPr>
      </w:pPr>
      <w:bookmarkStart w:id="78" w:name="_Toc24708496"/>
      <w:r>
        <w:rPr>
          <w:rFonts w:hint="eastAsia" w:ascii="仿宋_GB2312" w:hAnsi="仿宋_GB2312" w:eastAsia="仿宋_GB2312" w:cs="仿宋_GB2312"/>
          <w:sz w:val="28"/>
          <w:szCs w:val="28"/>
        </w:rPr>
        <w:t>本次招</w:t>
      </w:r>
      <w:r>
        <w:rPr>
          <w:rFonts w:hint="eastAsia" w:ascii="仿宋_GB2312" w:hAnsi="仿宋_GB2312" w:eastAsia="仿宋_GB2312" w:cs="仿宋_GB2312"/>
          <w:bCs/>
          <w:sz w:val="28"/>
          <w:szCs w:val="28"/>
        </w:rPr>
        <w:t>标计划总额为</w:t>
      </w:r>
      <w:r>
        <w:rPr>
          <w:rFonts w:hint="eastAsia" w:ascii="仿宋_GB2312" w:hAnsi="仿宋_GB2312" w:eastAsia="仿宋_GB2312" w:cs="仿宋_GB2312"/>
          <w:sz w:val="28"/>
          <w:szCs w:val="28"/>
        </w:rPr>
        <w:t>一年期定期</w:t>
      </w:r>
      <w:r>
        <w:rPr>
          <w:rFonts w:hint="eastAsia" w:ascii="仿宋_GB2312" w:hAnsi="仿宋_GB2312" w:eastAsia="仿宋_GB2312" w:cs="仿宋_GB2312"/>
          <w:bCs/>
          <w:sz w:val="28"/>
          <w:szCs w:val="28"/>
        </w:rPr>
        <w:t>存款</w:t>
      </w:r>
      <w:r>
        <w:rPr>
          <w:rFonts w:hint="eastAsia" w:ascii="仿宋_GB2312" w:hAnsi="仿宋_GB2312" w:eastAsia="仿宋_GB2312" w:cs="仿宋_GB2312"/>
          <w:color w:val="auto"/>
          <w:spacing w:val="10"/>
          <w:sz w:val="28"/>
          <w:szCs w:val="28"/>
        </w:rPr>
        <w:t>97500万元</w:t>
      </w:r>
    </w:p>
    <w:p>
      <w:pPr>
        <w:pStyle w:val="282"/>
        <w:spacing w:line="540" w:lineRule="exact"/>
        <w:ind w:firstLine="600" w:firstLineChars="200"/>
        <w:jc w:val="both"/>
        <w:rPr>
          <w:rFonts w:hint="eastAsia" w:ascii="仿宋_GB2312" w:hAnsi="仿宋_GB2312" w:eastAsia="仿宋_GB2312" w:cs="仿宋_GB2312"/>
          <w:bCs/>
          <w:color w:val="auto"/>
          <w:spacing w:val="10"/>
          <w:sz w:val="28"/>
          <w:szCs w:val="28"/>
        </w:rPr>
      </w:pPr>
      <w:r>
        <w:rPr>
          <w:rFonts w:hint="eastAsia" w:ascii="仿宋_GB2312" w:hAnsi="仿宋_GB2312" w:eastAsia="仿宋_GB2312" w:cs="仿宋_GB2312"/>
          <w:bCs/>
          <w:color w:val="auto"/>
          <w:spacing w:val="10"/>
          <w:sz w:val="28"/>
          <w:szCs w:val="28"/>
        </w:rPr>
        <w:t>中标金额分配：</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331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得分名次</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中标金额（万元/名）</w:t>
            </w:r>
          </w:p>
        </w:tc>
        <w:tc>
          <w:tcPr>
            <w:tcW w:w="2822"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第1至第3名</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10,500</w:t>
            </w:r>
          </w:p>
        </w:tc>
        <w:tc>
          <w:tcPr>
            <w:tcW w:w="2822"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第4至第6名</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8,500</w:t>
            </w:r>
          </w:p>
        </w:tc>
        <w:tc>
          <w:tcPr>
            <w:tcW w:w="2822" w:type="dxa"/>
            <w:vAlign w:val="center"/>
          </w:tcPr>
          <w:p>
            <w:pPr>
              <w:spacing w:line="5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第7至第9名</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6,500</w:t>
            </w:r>
          </w:p>
        </w:tc>
        <w:tc>
          <w:tcPr>
            <w:tcW w:w="2822" w:type="dxa"/>
            <w:vAlign w:val="center"/>
          </w:tcPr>
          <w:p>
            <w:pPr>
              <w:spacing w:line="5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第10至第12名</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4,500</w:t>
            </w:r>
          </w:p>
        </w:tc>
        <w:tc>
          <w:tcPr>
            <w:tcW w:w="2822" w:type="dxa"/>
            <w:vAlign w:val="center"/>
          </w:tcPr>
          <w:p>
            <w:pPr>
              <w:spacing w:line="5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第13至第15名</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2,500</w:t>
            </w:r>
          </w:p>
        </w:tc>
        <w:tc>
          <w:tcPr>
            <w:tcW w:w="2822" w:type="dxa"/>
            <w:vAlign w:val="center"/>
          </w:tcPr>
          <w:p>
            <w:pPr>
              <w:spacing w:line="5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合  计</w:t>
            </w:r>
          </w:p>
        </w:tc>
        <w:tc>
          <w:tcPr>
            <w:tcW w:w="3316" w:type="dxa"/>
            <w:vAlign w:val="center"/>
          </w:tcPr>
          <w:p>
            <w:pPr>
              <w:pStyle w:val="282"/>
              <w:spacing w:line="52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97,500</w:t>
            </w:r>
          </w:p>
        </w:tc>
        <w:tc>
          <w:tcPr>
            <w:tcW w:w="2822" w:type="dxa"/>
            <w:vAlign w:val="center"/>
          </w:tcPr>
          <w:p>
            <w:pPr>
              <w:jc w:val="center"/>
              <w:rPr>
                <w:rFonts w:hint="eastAsia" w:ascii="仿宋_GB2312" w:hAnsi="仿宋_GB2312" w:eastAsia="仿宋_GB2312" w:cs="仿宋_GB2312"/>
                <w:color w:val="FF0000"/>
                <w:sz w:val="28"/>
                <w:szCs w:val="28"/>
              </w:rPr>
            </w:pPr>
          </w:p>
        </w:tc>
      </w:tr>
    </w:tbl>
    <w:p>
      <w:pPr>
        <w:pStyle w:val="282"/>
        <w:spacing w:line="540" w:lineRule="exact"/>
        <w:ind w:firstLine="600" w:firstLineChars="200"/>
        <w:jc w:val="both"/>
        <w:rPr>
          <w:rFonts w:hint="eastAsia" w:ascii="仿宋_GB2312" w:hAnsi="仿宋_GB2312" w:eastAsia="仿宋_GB2312" w:cs="仿宋_GB2312"/>
          <w:bCs/>
          <w:color w:val="auto"/>
          <w:spacing w:val="10"/>
          <w:sz w:val="28"/>
          <w:szCs w:val="28"/>
        </w:rPr>
      </w:pPr>
    </w:p>
    <w:p>
      <w:pPr>
        <w:pStyle w:val="282"/>
        <w:spacing w:line="540" w:lineRule="exact"/>
        <w:ind w:firstLine="600" w:firstLineChars="200"/>
        <w:jc w:val="both"/>
        <w:rPr>
          <w:rFonts w:hint="eastAsia" w:ascii="仿宋_GB2312" w:hAnsi="仿宋_GB2312" w:eastAsia="仿宋_GB2312" w:cs="仿宋_GB2312"/>
          <w:bCs/>
          <w:color w:val="auto"/>
          <w:spacing w:val="10"/>
          <w:sz w:val="28"/>
          <w:szCs w:val="28"/>
        </w:rPr>
      </w:pPr>
    </w:p>
    <w:p>
      <w:pPr>
        <w:pStyle w:val="282"/>
        <w:spacing w:line="540" w:lineRule="exact"/>
        <w:ind w:firstLine="560" w:firstLineChars="200"/>
        <w:jc w:val="both"/>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三、评标办法</w:t>
      </w:r>
      <w:bookmarkEnd w:id="78"/>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779"/>
        <w:gridCol w:w="675"/>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06"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1779"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评分指标</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分值</w:t>
            </w:r>
          </w:p>
        </w:tc>
        <w:tc>
          <w:tcPr>
            <w:tcW w:w="5700"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906"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利率水平</w:t>
            </w:r>
          </w:p>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一年期定期存款年利率</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年期定期存款年利率报价最高者得10分，其他竞标银行得分：竞标银行定期存款报价的年利率÷最高定期存款报价的年利率×10，得分四舍五入保留2位小数。如竞标银行定期存款利率报价较基准利率浮动幅度未达到浙江省市场利率定价自律机制规定的该行浮动幅度上限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06" w:type="dxa"/>
            <w:vMerge w:val="restart"/>
            <w:vAlign w:val="center"/>
          </w:tcPr>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经营状况</w:t>
            </w: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(52)</w:t>
            </w: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1、月均不良贷款比率（市本级）</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的平均不良贷款比率最低的竞标银行得3分，第2名减0.15分，按此递减，得分低于0分的按0分计。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6" w:type="dxa"/>
            <w:vMerge w:val="continue"/>
            <w:vAlign w:val="center"/>
          </w:tcPr>
          <w:p>
            <w:pPr>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2、累计处置不良贷款额（全市）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的累计处置不良贷款额最高的竞标银行得2分，第2名减0.1分，按此递减，得分低于0分的按0分计。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3、月均余额存贷比（市本级）</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的平均余额存贷比最高的竞标银行得2分，第2名减0.1分，按此递减，得分低于0分的按0分计。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4、偿付能力</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spacing w:val="10"/>
                <w:kern w:val="0"/>
                <w:sz w:val="28"/>
                <w:szCs w:val="28"/>
              </w:rPr>
              <w:t>的拨备覆盖率排名第一的得2分；第2名减0.1分，按此递减，得分低于0分的按0分计。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5、内控水平</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spacing w:val="10"/>
                <w:kern w:val="0"/>
                <w:sz w:val="28"/>
                <w:szCs w:val="28"/>
              </w:rPr>
              <w:t>市银保监、市人行行政处罚情况。无处罚的得2分；有处罚的得0分。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6、月均企业中长期贷款占企业全部贷款比率（市本级）</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的平均企业中长期贷款占企业全部贷款比率最高的竞标银行得3分，第2名减0.15分，按此递减，得分低于0分的按0分计。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7、月均小微企业贷款平均利率（全市）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的平均小微企业贷款平均利率最低的竞标银行得10分，第2名减0.5分，按此递减，得分低于0分的按0分计。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8、小微企业贷款余额（全市）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2021年5月31日</w:t>
            </w:r>
            <w:r>
              <w:rPr>
                <w:rFonts w:hint="eastAsia" w:ascii="仿宋_GB2312" w:hAnsi="仿宋_GB2312" w:eastAsia="仿宋_GB2312" w:cs="仿宋_GB2312"/>
                <w:kern w:val="0"/>
                <w:sz w:val="28"/>
                <w:szCs w:val="28"/>
              </w:rPr>
              <w:t>的小微企业贷款余额最高的竞标银行得3分，第2名减0.15分，按此递减，得分低于0分的按0分计。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9、月均小微企业贷款增量（全市）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的平均小微企业贷款增量最高的竞标银行得2分，第2名减0.1分，按此递减，得分低于0分的按0分计。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10、月均小微企业贷款增速（全市）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的平均小微企业贷款增速最高的竞标银行得2分，第2名减0.1分，按此递减，得分低于0分的按0分计。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11、月均小微企业贷款占全部贷款余额比率（全市）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的平均小微企业贷款占全部贷款余额比率最高的竞标银行得3分，第2名减0.15分，按此递减，得分低于0分的按0分计。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12、绿色贷款余额（全市）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2021年5月31日</w:t>
            </w:r>
            <w:r>
              <w:rPr>
                <w:rFonts w:hint="eastAsia" w:ascii="仿宋_GB2312" w:hAnsi="仿宋_GB2312" w:eastAsia="仿宋_GB2312" w:cs="仿宋_GB2312"/>
                <w:kern w:val="0"/>
                <w:sz w:val="28"/>
                <w:szCs w:val="28"/>
              </w:rPr>
              <w:t>的绿色贷款余额最高的竞标银行得6分，第2名减0.3分，按此递减，得分低于0分的按0分计。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13、月均绿色贷款增量（全市）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的平均绿色贷款增量最高的竞标银行得6分，第2名减0.3分，按此递减，得分低于0分的按0分计。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06" w:type="dxa"/>
            <w:vMerge w:val="continue"/>
            <w:vAlign w:val="center"/>
          </w:tcPr>
          <w:p>
            <w:pPr>
              <w:widowControl/>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14、月均绿色贷款增速（全市）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的平均绿色贷款增速最高的竞标银行得6分，第2名减0.3分，按此递减，得分低于0分的按0分计。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06" w:type="dxa"/>
            <w:vMerge w:val="restart"/>
            <w:vAlign w:val="center"/>
          </w:tcPr>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w:t>
            </w: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经济贡献度</w:t>
            </w: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FF0000"/>
                <w:kern w:val="0"/>
                <w:sz w:val="28"/>
                <w:szCs w:val="28"/>
              </w:rPr>
              <w:t>(36)</w:t>
            </w: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1、上缴地方财政收入总额（市本级）</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kern w:val="0"/>
                <w:sz w:val="28"/>
                <w:szCs w:val="28"/>
              </w:rPr>
              <w:t>累计上缴地方财政收入总额最高的竞标银行得13分。其他竞标银行得分：竞标银行的上缴地方财政收入总额÷最高的上缴地方财政收入总额×13，得分四舍五入保留2位小数。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906" w:type="dxa"/>
            <w:vMerge w:val="continue"/>
            <w:vAlign w:val="center"/>
          </w:tcPr>
          <w:p>
            <w:pPr>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2、还款方式创新累计额（全市）</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①市人行提供的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spacing w:val="10"/>
                <w:kern w:val="0"/>
                <w:sz w:val="28"/>
                <w:szCs w:val="28"/>
              </w:rPr>
              <w:t>还款方式创新累计额最高的竞标银行得2分，第2名减0.1分，按此递减，得分低于0分的按0分计。②上述还款方式创新累计额为0的得0分。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906" w:type="dxa"/>
            <w:vMerge w:val="continue"/>
            <w:vAlign w:val="center"/>
          </w:tcPr>
          <w:p>
            <w:pPr>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3、发债支持情况（市本级）</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①市国资公司提供的</w:t>
            </w:r>
            <w:r>
              <w:rPr>
                <w:rFonts w:hint="eastAsia" w:ascii="仿宋_GB2312" w:hAnsi="仿宋_GB2312" w:eastAsia="仿宋_GB2312" w:cs="仿宋_GB2312"/>
                <w:color w:val="FF0000"/>
                <w:kern w:val="0"/>
                <w:sz w:val="28"/>
                <w:szCs w:val="28"/>
              </w:rPr>
              <w:t>2020年6月至2021年5月</w:t>
            </w:r>
            <w:r>
              <w:rPr>
                <w:rFonts w:hint="eastAsia" w:ascii="仿宋_GB2312" w:hAnsi="仿宋_GB2312" w:eastAsia="仿宋_GB2312" w:cs="仿宋_GB2312"/>
                <w:kern w:val="0"/>
                <w:sz w:val="28"/>
                <w:szCs w:val="28"/>
              </w:rPr>
              <w:t>对市本级国资体系发债支持（投中金额）最高的竞标银行得5分，第2名减0.25分，按此递减，得分低于0分的按0分计。②上述发债支持（投中金额）为0的得0分。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06" w:type="dxa"/>
            <w:vMerge w:val="continue"/>
            <w:vAlign w:val="center"/>
          </w:tcPr>
          <w:p>
            <w:pPr>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spacing w:val="10"/>
                <w:kern w:val="0"/>
                <w:sz w:val="28"/>
                <w:szCs w:val="28"/>
              </w:rPr>
              <w:t>4、市委2020年度对金融机构综合考核结果</w:t>
            </w:r>
          </w:p>
        </w:tc>
        <w:tc>
          <w:tcPr>
            <w:tcW w:w="675" w:type="dxa"/>
            <w:vAlign w:val="center"/>
          </w:tcPr>
          <w:p>
            <w:pPr>
              <w:widowControl/>
              <w:spacing w:line="500" w:lineRule="exact"/>
              <w:jc w:val="center"/>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spacing w:val="10"/>
                <w:kern w:val="0"/>
                <w:sz w:val="28"/>
                <w:szCs w:val="28"/>
              </w:rPr>
              <w:t>4</w:t>
            </w:r>
          </w:p>
        </w:tc>
        <w:tc>
          <w:tcPr>
            <w:tcW w:w="5700" w:type="dxa"/>
            <w:vAlign w:val="center"/>
          </w:tcPr>
          <w:p>
            <w:pPr>
              <w:widowControl/>
              <w:spacing w:line="500" w:lineRule="exact"/>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spacing w:val="10"/>
                <w:kern w:val="0"/>
                <w:sz w:val="28"/>
                <w:szCs w:val="28"/>
              </w:rPr>
              <w:t>根据综合考核评分结果排名，排位第1名的竞标银行得4分，第2名减0.2分，按此递减，得分低于0分的按0分计。柯城农商行、衢江农商行比照农信联社衢州办事处考核得分进行排名。未参加考核的按平均分计分。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06" w:type="dxa"/>
            <w:vMerge w:val="continue"/>
            <w:vAlign w:val="center"/>
          </w:tcPr>
          <w:p>
            <w:pPr>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5、市政府2020年度绿色金融考评结果</w:t>
            </w:r>
          </w:p>
        </w:tc>
        <w:tc>
          <w:tcPr>
            <w:tcW w:w="675" w:type="dxa"/>
            <w:vAlign w:val="center"/>
          </w:tcPr>
          <w:p>
            <w:pPr>
              <w:widowControl/>
              <w:spacing w:line="500" w:lineRule="exact"/>
              <w:jc w:val="center"/>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6</w:t>
            </w:r>
          </w:p>
        </w:tc>
        <w:tc>
          <w:tcPr>
            <w:tcW w:w="5700" w:type="dxa"/>
            <w:vAlign w:val="center"/>
          </w:tcPr>
          <w:p>
            <w:pPr>
              <w:widowControl/>
              <w:spacing w:line="500" w:lineRule="exact"/>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市政府2020年度市区银行业金融机构绿色金融考评结果排位第1名的竞标银行得6分，第2名减0.3分，按此递减，得分低于0分的按0分计。未参加考评的按平均分计分。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06" w:type="dxa"/>
            <w:vMerge w:val="continue"/>
            <w:vAlign w:val="center"/>
          </w:tcPr>
          <w:p>
            <w:pPr>
              <w:spacing w:line="500" w:lineRule="exact"/>
              <w:jc w:val="center"/>
              <w:rPr>
                <w:rFonts w:hint="eastAsia" w:ascii="仿宋_GB2312" w:hAnsi="仿宋_GB2312" w:eastAsia="仿宋_GB2312" w:cs="仿宋_GB2312"/>
                <w:kern w:val="0"/>
                <w:sz w:val="28"/>
                <w:szCs w:val="28"/>
              </w:rPr>
            </w:pPr>
          </w:p>
        </w:tc>
        <w:tc>
          <w:tcPr>
            <w:tcW w:w="1779" w:type="dxa"/>
            <w:vAlign w:val="center"/>
          </w:tcPr>
          <w:p>
            <w:pPr>
              <w:widowControl/>
              <w:spacing w:line="500" w:lineRule="exact"/>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6、市人行绿色金融工作评价结果</w:t>
            </w:r>
          </w:p>
        </w:tc>
        <w:tc>
          <w:tcPr>
            <w:tcW w:w="675" w:type="dxa"/>
            <w:vAlign w:val="center"/>
          </w:tcPr>
          <w:p>
            <w:pPr>
              <w:widowControl/>
              <w:spacing w:line="500" w:lineRule="exact"/>
              <w:jc w:val="center"/>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6</w:t>
            </w:r>
          </w:p>
        </w:tc>
        <w:tc>
          <w:tcPr>
            <w:tcW w:w="5700" w:type="dxa"/>
            <w:vAlign w:val="center"/>
          </w:tcPr>
          <w:p>
            <w:pPr>
              <w:widowControl/>
              <w:spacing w:line="500" w:lineRule="exact"/>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市人行最新在衢银行业金融机构绿色金融工作评价结果排位第1名的竞标银行得6分，第2名减0.3分，按此递减，得分低于0分的按0分计。未参加考评的按平均分计分。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06" w:type="dxa"/>
            <w:vAlign w:val="center"/>
          </w:tcPr>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服务水平</w:t>
            </w:r>
          </w:p>
          <w:p>
            <w:pPr>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FF0000"/>
                <w:kern w:val="0"/>
                <w:sz w:val="28"/>
                <w:szCs w:val="28"/>
              </w:rPr>
              <w:t>(2)</w:t>
            </w:r>
          </w:p>
        </w:tc>
        <w:tc>
          <w:tcPr>
            <w:tcW w:w="1779"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服务质量</w:t>
            </w:r>
          </w:p>
        </w:tc>
        <w:tc>
          <w:tcPr>
            <w:tcW w:w="675" w:type="dxa"/>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2</w:t>
            </w:r>
          </w:p>
        </w:tc>
        <w:tc>
          <w:tcPr>
            <w:tcW w:w="5700" w:type="dxa"/>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pacing w:val="10"/>
                <w:kern w:val="0"/>
                <w:sz w:val="28"/>
                <w:szCs w:val="28"/>
              </w:rPr>
              <w:t>市财政局提供的</w:t>
            </w:r>
            <w:r>
              <w:rPr>
                <w:rFonts w:hint="eastAsia" w:ascii="仿宋_GB2312" w:hAnsi="仿宋_GB2312" w:eastAsia="仿宋_GB2312" w:cs="仿宋_GB2312"/>
                <w:color w:val="FF0000"/>
                <w:kern w:val="0"/>
                <w:sz w:val="28"/>
                <w:szCs w:val="28"/>
              </w:rPr>
              <w:t>2021年1月至5月</w:t>
            </w:r>
            <w:r>
              <w:rPr>
                <w:rFonts w:hint="eastAsia" w:ascii="仿宋_GB2312" w:hAnsi="仿宋_GB2312" w:eastAsia="仿宋_GB2312" w:cs="仿宋_GB2312"/>
                <w:spacing w:val="10"/>
                <w:kern w:val="0"/>
                <w:sz w:val="28"/>
                <w:szCs w:val="28"/>
              </w:rPr>
              <w:t>代理服务违规违约通报，无违规违约的得2分，出现1次未按规定汇划到期本息、违规违约及服务投诉等情况的，本项得0分。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060" w:type="dxa"/>
            <w:gridSpan w:val="4"/>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注：①以上得分四舍五入保留2位小数；</w:t>
            </w:r>
          </w:p>
          <w:p>
            <w:pPr>
              <w:widowControl/>
              <w:tabs>
                <w:tab w:val="left" w:pos="4844"/>
              </w:tabs>
              <w:spacing w:line="5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②以上排名按有效投标人排列顺序确定名次；名次相同者，占用名次。</w:t>
            </w:r>
          </w:p>
          <w:p>
            <w:pPr>
              <w:widowControl/>
              <w:tabs>
                <w:tab w:val="left" w:pos="4844"/>
              </w:tabs>
              <w:spacing w:line="50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kern w:val="0"/>
                <w:sz w:val="28"/>
                <w:szCs w:val="28"/>
              </w:rPr>
              <w:fldChar w:fldCharType="begin"/>
            </w:r>
            <w:r>
              <w:rPr>
                <w:rFonts w:hint="eastAsia" w:ascii="仿宋_GB2312" w:hAnsi="仿宋_GB2312" w:eastAsia="仿宋_GB2312" w:cs="仿宋_GB2312"/>
                <w:color w:val="FF0000"/>
                <w:kern w:val="0"/>
                <w:sz w:val="28"/>
                <w:szCs w:val="28"/>
              </w:rPr>
              <w:instrText xml:space="preserve"> = 3 \* GB3 \* MERGEFORMAT </w:instrText>
            </w:r>
            <w:r>
              <w:rPr>
                <w:rFonts w:hint="eastAsia" w:ascii="仿宋_GB2312" w:hAnsi="仿宋_GB2312" w:eastAsia="仿宋_GB2312" w:cs="仿宋_GB2312"/>
                <w:color w:val="FF0000"/>
                <w:kern w:val="0"/>
                <w:sz w:val="28"/>
                <w:szCs w:val="28"/>
              </w:rPr>
              <w:fldChar w:fldCharType="separate"/>
            </w:r>
            <w:r>
              <w:rPr>
                <w:rFonts w:hint="eastAsia" w:ascii="仿宋_GB2312" w:hAnsi="仿宋_GB2312" w:eastAsia="仿宋_GB2312" w:cs="仿宋_GB2312"/>
                <w:color w:val="FF0000"/>
                <w:sz w:val="28"/>
                <w:szCs w:val="28"/>
              </w:rPr>
              <w:t>③</w:t>
            </w:r>
            <w:r>
              <w:rPr>
                <w:rFonts w:hint="eastAsia" w:ascii="仿宋_GB2312" w:hAnsi="仿宋_GB2312" w:eastAsia="仿宋_GB2312" w:cs="仿宋_GB2312"/>
                <w:color w:val="FF0000"/>
                <w:kern w:val="0"/>
                <w:sz w:val="28"/>
                <w:szCs w:val="28"/>
              </w:rPr>
              <w:fldChar w:fldCharType="end"/>
            </w:r>
            <w:r>
              <w:rPr>
                <w:rFonts w:hint="eastAsia" w:ascii="仿宋_GB2312" w:hAnsi="仿宋_GB2312" w:eastAsia="仿宋_GB2312" w:cs="仿宋_GB2312"/>
                <w:color w:val="FF0000"/>
                <w:sz w:val="28"/>
                <w:szCs w:val="28"/>
              </w:rPr>
              <w:t>以上评分指标数据的统计口径如市人行能统计到“市本级”的，则改为“市本级”。</w:t>
            </w:r>
          </w:p>
          <w:p>
            <w:pPr>
              <w:widowControl/>
              <w:tabs>
                <w:tab w:val="left" w:pos="4844"/>
              </w:tabs>
              <w:spacing w:line="500" w:lineRule="exact"/>
              <w:ind w:firstLine="560" w:firstLineChars="200"/>
              <w:jc w:val="left"/>
              <w:rPr>
                <w:rFonts w:hint="eastAsia" w:ascii="仿宋_GB2312" w:hAnsi="仿宋_GB2312" w:eastAsia="仿宋_GB2312" w:cs="仿宋_GB2312"/>
                <w:kern w:val="0"/>
                <w:sz w:val="28"/>
                <w:szCs w:val="28"/>
              </w:rPr>
            </w:pPr>
          </w:p>
        </w:tc>
      </w:tr>
    </w:tbl>
    <w:p>
      <w:pPr>
        <w:pStyle w:val="282"/>
        <w:spacing w:line="500" w:lineRule="exact"/>
        <w:ind w:firstLine="560" w:firstLineChars="200"/>
        <w:jc w:val="both"/>
        <w:rPr>
          <w:rFonts w:ascii="仿宋_GB2312" w:eastAsia="仿宋_GB2312" w:cs="宋体"/>
          <w:bCs/>
          <w:color w:val="auto"/>
          <w:sz w:val="28"/>
          <w:szCs w:val="28"/>
          <w:lang w:val="zh-CN"/>
        </w:rPr>
      </w:pPr>
    </w:p>
    <w:p>
      <w:pPr>
        <w:autoSpaceDE w:val="0"/>
        <w:autoSpaceDN w:val="0"/>
        <w:adjustRightInd w:val="0"/>
        <w:snapToGrid w:val="0"/>
        <w:spacing w:line="500" w:lineRule="exact"/>
        <w:ind w:left="425"/>
        <w:outlineLvl w:val="1"/>
        <w:rPr>
          <w:rFonts w:ascii="仿宋_GB2312" w:eastAsia="仿宋_GB2312"/>
          <w:sz w:val="28"/>
          <w:szCs w:val="28"/>
        </w:rPr>
      </w:pPr>
    </w:p>
    <w:sectPr>
      <w:pgSz w:w="11906" w:h="16838"/>
      <w:pgMar w:top="1389" w:right="1247" w:bottom="1389" w:left="1247"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Garamond">
    <w:altName w:val="Hunters Script"/>
    <w:panose1 w:val="02020404030301010803"/>
    <w:charset w:val="00"/>
    <w:family w:val="roman"/>
    <w:pitch w:val="default"/>
    <w:sig w:usb0="00000000" w:usb1="00000000" w:usb2="00000000" w:usb3="00000000" w:csb0="0000009F" w:csb1="DFD70000"/>
  </w:font>
  <w:font w:name="Hunters Script">
    <w:panose1 w:val="02000500000000000000"/>
    <w:charset w:val="00"/>
    <w:family w:val="auto"/>
    <w:pitch w:val="default"/>
    <w:sig w:usb0="00000003" w:usb1="10000000" w:usb2="00000000" w:usb3="00000000" w:csb0="00000001" w:csb1="00000000"/>
  </w:font>
  <w:font w:name="Book Antiqua">
    <w:altName w:val="The Blacko"/>
    <w:panose1 w:val="02040602050305030304"/>
    <w:charset w:val="00"/>
    <w:family w:val="roman"/>
    <w:pitch w:val="default"/>
    <w:sig w:usb0="00000000" w:usb1="00000000" w:usb2="00000000" w:usb3="00000000" w:csb0="2000009F" w:csb1="DFD70000"/>
  </w:font>
  <w:font w:name="The Blacko">
    <w:panose1 w:val="02000600000000000000"/>
    <w:charset w:val="00"/>
    <w:family w:val="auto"/>
    <w:pitch w:val="default"/>
    <w:sig w:usb0="00000003" w:usb1="00000000" w:usb2="00000000" w:usb3="00000000" w:csb0="00000001" w:csb1="00000000"/>
  </w:font>
  <w:font w:name="FuturaA Bk BT">
    <w:altName w:val="Times New Roman"/>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Style w:val="66"/>
      </w:rPr>
    </w:pPr>
    <w:r>
      <w:rPr>
        <w:rFonts w:hint="eastAsia"/>
      </w:rPr>
      <w:t>第</w:t>
    </w:r>
    <w:r>
      <w:fldChar w:fldCharType="begin"/>
    </w:r>
    <w:r>
      <w:rPr>
        <w:rStyle w:val="66"/>
      </w:rPr>
      <w:instrText xml:space="preserve"> PAGE </w:instrText>
    </w:r>
    <w:r>
      <w:fldChar w:fldCharType="separate"/>
    </w:r>
    <w:r>
      <w:rPr>
        <w:rStyle w:val="66"/>
      </w:rPr>
      <w:t>25</w:t>
    </w:r>
    <w:r>
      <w:fldChar w:fldCharType="end"/>
    </w:r>
    <w:r>
      <w:rPr>
        <w:rStyle w:val="66"/>
        <w:rFonts w:hint="eastAsia"/>
      </w:rPr>
      <w:t>页 共</w:t>
    </w:r>
    <w:r>
      <w:fldChar w:fldCharType="begin"/>
    </w:r>
    <w:r>
      <w:rPr>
        <w:rStyle w:val="66"/>
      </w:rPr>
      <w:instrText xml:space="preserve"> NUMPAGES </w:instrText>
    </w:r>
    <w:r>
      <w:fldChar w:fldCharType="separate"/>
    </w:r>
    <w:r>
      <w:rPr>
        <w:rStyle w:val="66"/>
      </w:rPr>
      <w:t>29</w:t>
    </w:r>
    <w:r>
      <w:fldChar w:fldCharType="end"/>
    </w:r>
    <w:r>
      <w:rPr>
        <w:rStyle w:val="66"/>
        <w:rFonts w:hint="eastAsia"/>
      </w:rPr>
      <w:t>页</w:t>
    </w:r>
  </w:p>
  <w:p>
    <w:pPr>
      <w:pStyle w:val="38"/>
      <w:pBdr>
        <w:top w:val="single" w:color="auto" w:sz="4" w:space="1"/>
      </w:pBdr>
      <w:jc w:val="center"/>
    </w:pPr>
    <w:r>
      <w:rPr>
        <w:rFonts w:hint="eastAsia"/>
      </w:rPr>
      <w:t xml:space="preserve">衢州市政府采购中心                                                   </w:t>
    </w:r>
    <w:r>
      <w:rPr>
        <w:rFonts w:hint="eastAsia" w:ascii="宋体" w:hAnsi="宋体"/>
      </w:rPr>
      <w:t>网址：</w:t>
    </w:r>
    <w:r>
      <w:fldChar w:fldCharType="begin"/>
    </w:r>
    <w:r>
      <w:instrText xml:space="preserve"> HYPERLINK "http://www.qzggzy.com/" </w:instrText>
    </w:r>
    <w:r>
      <w:fldChar w:fldCharType="separate"/>
    </w:r>
    <w:r>
      <w:rPr>
        <w:rStyle w:val="73"/>
        <w:color w:val="auto"/>
      </w:rPr>
      <w:t>http://</w:t>
    </w:r>
    <w:r>
      <w:rPr>
        <w:u w:val="single"/>
      </w:rPr>
      <w:t xml:space="preserve"> ggzy.qz.gov.cn</w:t>
    </w:r>
    <w:r>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6"/>
      </w:rPr>
    </w:pPr>
    <w:r>
      <w:fldChar w:fldCharType="begin"/>
    </w:r>
    <w:r>
      <w:rPr>
        <w:rStyle w:val="66"/>
      </w:rPr>
      <w:instrText xml:space="preserve">PAGE  </w:instrText>
    </w:r>
    <w:r>
      <w:fldChar w:fldCharType="separate"/>
    </w:r>
    <w:r>
      <w:rPr>
        <w:rStyle w:val="66"/>
      </w:rPr>
      <w:t>1</w:t>
    </w:r>
    <w:r>
      <w:fldChar w:fldCharType="end"/>
    </w:r>
  </w:p>
  <w:p>
    <w:pPr>
      <w:pStyle w:val="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sz w:val="24"/>
        <w:szCs w:val="24"/>
      </w:rPr>
    </w:pPr>
    <w:r>
      <w:rPr>
        <w:rFonts w:hint="eastAsia" w:ascii="仿宋_GB2312" w:hAnsi="仿宋_GB2312" w:eastAsia="仿宋_GB2312" w:cs="仿宋_GB2312"/>
        <w:sz w:val="24"/>
        <w:szCs w:val="24"/>
      </w:rPr>
      <w:t>2021年第2期衢州市政府性资金结算平台资金竞争性存放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26A6"/>
    <w:multiLevelType w:val="multilevel"/>
    <w:tmpl w:val="805726A6"/>
    <w:lvl w:ilvl="0" w:tentative="0">
      <w:start w:val="6"/>
      <w:numFmt w:val="chineseCountingThousand"/>
      <w:suff w:val="space"/>
      <w:lvlText w:val="%1"/>
      <w:lvlJc w:val="left"/>
      <w:pPr>
        <w:ind w:left="425" w:firstLine="142"/>
      </w:pPr>
      <w:rPr>
        <w:rFonts w:hint="eastAsia"/>
      </w:rPr>
    </w:lvl>
    <w:lvl w:ilvl="1" w:tentative="0">
      <w:start w:val="24"/>
      <w:numFmt w:val="decimal"/>
      <w:suff w:val="space"/>
      <w:lvlText w:val="%2."/>
      <w:lvlJc w:val="left"/>
      <w:pPr>
        <w:tabs>
          <w:tab w:val="left" w:pos="0"/>
        </w:tabs>
        <w:ind w:left="142"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A2433486"/>
    <w:multiLevelType w:val="multilevel"/>
    <w:tmpl w:val="A2433486"/>
    <w:lvl w:ilvl="0" w:tentative="0">
      <w:start w:val="6"/>
      <w:numFmt w:val="chineseCountingThousand"/>
      <w:suff w:val="space"/>
      <w:lvlText w:val="%1"/>
      <w:lvlJc w:val="left"/>
      <w:pPr>
        <w:ind w:left="425" w:firstLine="142"/>
      </w:pPr>
      <w:rPr>
        <w:rFonts w:hint="eastAsia"/>
      </w:rPr>
    </w:lvl>
    <w:lvl w:ilvl="1" w:tentative="0">
      <w:start w:val="31"/>
      <w:numFmt w:val="decimal"/>
      <w:suff w:val="space"/>
      <w:lvlText w:val="%2."/>
      <w:lvlJc w:val="left"/>
      <w:pPr>
        <w:tabs>
          <w:tab w:val="left" w:pos="0"/>
        </w:tabs>
        <w:ind w:left="142" w:firstLine="567"/>
      </w:pPr>
      <w:rPr>
        <w:rFonts w:hint="eastAsia"/>
        <w:b w:val="0"/>
        <w:i w:val="0"/>
      </w:rPr>
    </w:lvl>
    <w:lvl w:ilvl="2" w:tentative="0">
      <w:start w:val="1"/>
      <w:numFmt w:val="decimal"/>
      <w:suff w:val="nothing"/>
      <w:lvlText w:val="%2.%3"/>
      <w:lvlJc w:val="left"/>
      <w:pPr>
        <w:tabs>
          <w:tab w:val="left" w:pos="420"/>
        </w:tabs>
        <w:ind w:left="0" w:firstLine="567"/>
      </w:pPr>
      <w:rPr>
        <w:rFonts w:hint="eastAsia" w:ascii="宋体" w:hAnsi="宋体" w:eastAsia="宋体" w:cs="宋体"/>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3">
    <w:nsid w:val="0000000A"/>
    <w:multiLevelType w:val="multilevel"/>
    <w:tmpl w:val="0000000A"/>
    <w:lvl w:ilvl="0" w:tentative="0">
      <w:start w:val="1"/>
      <w:numFmt w:val="none"/>
      <w:pStyle w:val="194"/>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4">
    <w:nsid w:val="0000000B"/>
    <w:multiLevelType w:val="multilevel"/>
    <w:tmpl w:val="0000000B"/>
    <w:lvl w:ilvl="0" w:tentative="0">
      <w:start w:val="1"/>
      <w:numFmt w:val="bullet"/>
      <w:pStyle w:val="1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pStyle w:val="284"/>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5"/>
    <w:multiLevelType w:val="singleLevel"/>
    <w:tmpl w:val="00000015"/>
    <w:lvl w:ilvl="0" w:tentative="0">
      <w:start w:val="1"/>
      <w:numFmt w:val="decimal"/>
      <w:pStyle w:val="230"/>
      <w:lvlText w:val="%1．"/>
      <w:lvlJc w:val="left"/>
      <w:pPr>
        <w:tabs>
          <w:tab w:val="left" w:pos="360"/>
        </w:tabs>
        <w:ind w:left="245" w:hanging="245"/>
      </w:pPr>
      <w:rPr>
        <w:rFonts w:ascii="Times New Roman" w:hAnsi="Times New Roman" w:eastAsia="Times New Roman" w:cs="Times New Roman"/>
      </w:rPr>
    </w:lvl>
  </w:abstractNum>
  <w:abstractNum w:abstractNumId="7">
    <w:nsid w:val="00000016"/>
    <w:multiLevelType w:val="multilevel"/>
    <w:tmpl w:val="00000016"/>
    <w:lvl w:ilvl="0" w:tentative="0">
      <w:start w:val="1"/>
      <w:numFmt w:val="decimal"/>
      <w:pStyle w:val="241"/>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8"/>
    <w:multiLevelType w:val="multilevel"/>
    <w:tmpl w:val="00000018"/>
    <w:lvl w:ilvl="0" w:tentative="0">
      <w:start w:val="1"/>
      <w:numFmt w:val="bullet"/>
      <w:pStyle w:val="2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A"/>
    <w:multiLevelType w:val="multilevel"/>
    <w:tmpl w:val="0000001A"/>
    <w:lvl w:ilvl="0" w:tentative="0">
      <w:start w:val="1"/>
      <w:numFmt w:val="decimal"/>
      <w:pStyle w:val="233"/>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0">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193"/>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92"/>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10"/>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2257B36"/>
    <w:multiLevelType w:val="multilevel"/>
    <w:tmpl w:val="02257B36"/>
    <w:lvl w:ilvl="0" w:tentative="0">
      <w:start w:val="10"/>
      <w:numFmt w:val="chineseCountingThousand"/>
      <w:suff w:val="space"/>
      <w:lvlText w:val="%1、"/>
      <w:lvlJc w:val="left"/>
      <w:pPr>
        <w:ind w:left="425" w:firstLine="142"/>
      </w:pPr>
      <w:rPr>
        <w:rFonts w:hint="eastAsia"/>
      </w:rPr>
    </w:lvl>
    <w:lvl w:ilvl="1" w:tentative="0">
      <w:start w:val="19"/>
      <w:numFmt w:val="decimal"/>
      <w:suff w:val="space"/>
      <w:lvlText w:val="%2."/>
      <w:lvlJc w:val="left"/>
      <w:pPr>
        <w:ind w:left="-27" w:firstLine="567"/>
      </w:pPr>
      <w:rPr>
        <w:rFonts w:hint="eastAsia" w:ascii="仿宋_GB2312" w:eastAsia="仿宋_GB2312"/>
        <w:b w:val="0"/>
        <w:i w:val="0"/>
        <w:sz w:val="28"/>
        <w:szCs w:val="28"/>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3B1C300"/>
    <w:multiLevelType w:val="multilevel"/>
    <w:tmpl w:val="03B1C300"/>
    <w:lvl w:ilvl="0" w:tentative="0">
      <w:start w:val="4"/>
      <w:numFmt w:val="chineseCountingThousand"/>
      <w:suff w:val="space"/>
      <w:lvlText w:val="%1"/>
      <w:lvlJc w:val="left"/>
      <w:pPr>
        <w:ind w:left="425" w:firstLine="142"/>
      </w:pPr>
      <w:rPr>
        <w:rFonts w:hint="eastAsia"/>
      </w:rPr>
    </w:lvl>
    <w:lvl w:ilvl="1" w:tentative="0">
      <w:start w:val="8"/>
      <w:numFmt w:val="decimal"/>
      <w:suff w:val="space"/>
      <w:lvlText w:val="%2"/>
      <w:lvlJc w:val="left"/>
      <w:pPr>
        <w:tabs>
          <w:tab w:val="left" w:pos="0"/>
        </w:tabs>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A47CFE7"/>
    <w:multiLevelType w:val="multilevel"/>
    <w:tmpl w:val="0A47CFE7"/>
    <w:lvl w:ilvl="0" w:tentative="0">
      <w:start w:val="6"/>
      <w:numFmt w:val="chineseCountingThousand"/>
      <w:suff w:val="space"/>
      <w:lvlText w:val="%1、"/>
      <w:lvlJc w:val="left"/>
      <w:pPr>
        <w:ind w:left="425" w:firstLine="142"/>
      </w:pPr>
      <w:rPr>
        <w:rFonts w:hint="eastAsia"/>
      </w:rPr>
    </w:lvl>
    <w:lvl w:ilvl="1" w:tentative="0">
      <w:start w:val="12"/>
      <w:numFmt w:val="decimal"/>
      <w:suff w:val="space"/>
      <w:lvlText w:val="%2."/>
      <w:lvlJc w:val="left"/>
      <w:pPr>
        <w:tabs>
          <w:tab w:val="left" w:pos="0"/>
        </w:tabs>
        <w:ind w:left="-27" w:firstLine="567"/>
      </w:pPr>
      <w:rPr>
        <w:rFonts w:hint="eastAsia" w:ascii="仿宋_GB2312" w:eastAsia="仿宋_GB2312"/>
        <w:b w:val="0"/>
        <w:i w:val="0"/>
        <w:sz w:val="28"/>
        <w:szCs w:val="28"/>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1AA728CC"/>
    <w:multiLevelType w:val="multilevel"/>
    <w:tmpl w:val="1AA728CC"/>
    <w:lvl w:ilvl="0" w:tentative="0">
      <w:start w:val="1"/>
      <w:numFmt w:val="lowerLetter"/>
      <w:pStyle w:val="5"/>
      <w:lvlText w:val="%1)"/>
      <w:lvlJc w:val="left"/>
      <w:pPr>
        <w:ind w:left="420" w:hanging="420"/>
      </w:pPr>
    </w:lvl>
    <w:lvl w:ilvl="1" w:tentative="0">
      <w:start w:val="1"/>
      <w:numFmt w:val="lowerLetter"/>
      <w:pStyle w:val="218"/>
      <w:lvlText w:val="%2)"/>
      <w:lvlJc w:val="left"/>
      <w:pPr>
        <w:ind w:left="840" w:hanging="420"/>
      </w:pPr>
    </w:lvl>
    <w:lvl w:ilvl="2" w:tentative="0">
      <w:start w:val="1"/>
      <w:numFmt w:val="lowerRoman"/>
      <w:pStyle w:val="237"/>
      <w:lvlText w:val="%3."/>
      <w:lvlJc w:val="right"/>
      <w:pPr>
        <w:ind w:left="1260" w:hanging="420"/>
      </w:pPr>
    </w:lvl>
    <w:lvl w:ilvl="3" w:tentative="0">
      <w:start w:val="1"/>
      <w:numFmt w:val="decimal"/>
      <w:pStyle w:val="291"/>
      <w:lvlText w:val="%4."/>
      <w:lvlJc w:val="left"/>
      <w:pPr>
        <w:ind w:left="1680" w:hanging="420"/>
      </w:pPr>
    </w:lvl>
    <w:lvl w:ilvl="4" w:tentative="0">
      <w:start w:val="1"/>
      <w:numFmt w:val="lowerLetter"/>
      <w:pStyle w:val="192"/>
      <w:lvlText w:val="%5)"/>
      <w:lvlJc w:val="left"/>
      <w:pPr>
        <w:ind w:left="2100" w:hanging="420"/>
      </w:pPr>
    </w:lvl>
    <w:lvl w:ilvl="5" w:tentative="0">
      <w:start w:val="1"/>
      <w:numFmt w:val="lowerRoman"/>
      <w:pStyle w:val="224"/>
      <w:lvlText w:val="%6."/>
      <w:lvlJc w:val="right"/>
      <w:pPr>
        <w:ind w:left="2520" w:hanging="420"/>
      </w:pPr>
    </w:lvl>
    <w:lvl w:ilvl="6" w:tentative="0">
      <w:start w:val="1"/>
      <w:numFmt w:val="decimal"/>
      <w:pStyle w:val="202"/>
      <w:lvlText w:val="%7."/>
      <w:lvlJc w:val="left"/>
      <w:pPr>
        <w:ind w:left="2940" w:hanging="420"/>
      </w:pPr>
    </w:lvl>
    <w:lvl w:ilvl="7" w:tentative="0">
      <w:start w:val="1"/>
      <w:numFmt w:val="lowerLetter"/>
      <w:pStyle w:val="294"/>
      <w:lvlText w:val="%8)"/>
      <w:lvlJc w:val="left"/>
      <w:pPr>
        <w:ind w:left="3360" w:hanging="420"/>
      </w:pPr>
    </w:lvl>
    <w:lvl w:ilvl="8" w:tentative="0">
      <w:start w:val="1"/>
      <w:numFmt w:val="lowerRoman"/>
      <w:pStyle w:val="279"/>
      <w:lvlText w:val="%9."/>
      <w:lvlJc w:val="right"/>
      <w:pPr>
        <w:ind w:left="3780" w:hanging="420"/>
      </w:pPr>
    </w:lvl>
  </w:abstractNum>
  <w:abstractNum w:abstractNumId="17">
    <w:nsid w:val="1C6A3682"/>
    <w:multiLevelType w:val="multilevel"/>
    <w:tmpl w:val="1C6A3682"/>
    <w:lvl w:ilvl="0" w:tentative="0">
      <w:start w:val="1"/>
      <w:numFmt w:val="chineseCountingThousand"/>
      <w:suff w:val="space"/>
      <w:lvlText w:val="%1"/>
      <w:lvlJc w:val="left"/>
      <w:pPr>
        <w:ind w:left="0" w:firstLine="567"/>
      </w:pPr>
      <w:rPr>
        <w:rFonts w:hint="eastAsia"/>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1F4131A0"/>
    <w:multiLevelType w:val="multilevel"/>
    <w:tmpl w:val="1F4131A0"/>
    <w:lvl w:ilvl="0" w:tentative="0">
      <w:start w:val="1"/>
      <w:numFmt w:val="chineseCountingThousand"/>
      <w:suff w:val="space"/>
      <w:lvlText w:val="%1、"/>
      <w:lvlJc w:val="left"/>
      <w:pPr>
        <w:ind w:left="567"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29002E6D"/>
    <w:multiLevelType w:val="multilevel"/>
    <w:tmpl w:val="29002E6D"/>
    <w:lvl w:ilvl="0" w:tentative="0">
      <w:start w:val="11"/>
      <w:numFmt w:val="chineseCountingThousand"/>
      <w:suff w:val="space"/>
      <w:lvlText w:val="%1、"/>
      <w:lvlJc w:val="left"/>
      <w:pPr>
        <w:ind w:left="567"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2E85FDF8"/>
    <w:multiLevelType w:val="multilevel"/>
    <w:tmpl w:val="2E85FDF8"/>
    <w:lvl w:ilvl="0" w:tentative="0">
      <w:start w:val="6"/>
      <w:numFmt w:val="chineseCountingThousand"/>
      <w:suff w:val="space"/>
      <w:lvlText w:val="%1"/>
      <w:lvlJc w:val="left"/>
      <w:pPr>
        <w:ind w:left="425" w:firstLine="142"/>
      </w:pPr>
      <w:rPr>
        <w:rFonts w:hint="eastAsia"/>
      </w:rPr>
    </w:lvl>
    <w:lvl w:ilvl="1" w:tentative="0">
      <w:start w:val="18"/>
      <w:numFmt w:val="decimal"/>
      <w:suff w:val="space"/>
      <w:lvlText w:val="%2."/>
      <w:lvlJc w:val="left"/>
      <w:pPr>
        <w:tabs>
          <w:tab w:val="left" w:pos="0"/>
        </w:tabs>
        <w:ind w:left="142"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3636CB19"/>
    <w:multiLevelType w:val="multilevel"/>
    <w:tmpl w:val="3636CB19"/>
    <w:lvl w:ilvl="0" w:tentative="0">
      <w:start w:val="3"/>
      <w:numFmt w:val="chineseCountingThousand"/>
      <w:suff w:val="space"/>
      <w:lvlText w:val="%1"/>
      <w:lvlJc w:val="left"/>
      <w:pPr>
        <w:ind w:left="425" w:firstLine="142"/>
      </w:pPr>
      <w:rPr>
        <w:rFonts w:hint="eastAsia"/>
      </w:rPr>
    </w:lvl>
    <w:lvl w:ilvl="1" w:tentative="0">
      <w:start w:val="7"/>
      <w:numFmt w:val="decimal"/>
      <w:suff w:val="space"/>
      <w:lvlText w:val="%2."/>
      <w:lvlJc w:val="left"/>
      <w:pPr>
        <w:tabs>
          <w:tab w:val="left" w:pos="0"/>
        </w:tabs>
        <w:ind w:left="63"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4B7F1277"/>
    <w:multiLevelType w:val="multilevel"/>
    <w:tmpl w:val="4B7F1277"/>
    <w:lvl w:ilvl="0" w:tentative="0">
      <w:start w:val="4"/>
      <w:numFmt w:val="chineseCountingThousand"/>
      <w:suff w:val="space"/>
      <w:lvlText w:val="%1"/>
      <w:lvlJc w:val="left"/>
      <w:pPr>
        <w:ind w:left="0" w:firstLine="567"/>
      </w:pPr>
      <w:rPr>
        <w:rFonts w:hint="eastAsia"/>
      </w:rPr>
    </w:lvl>
    <w:lvl w:ilvl="1" w:tentative="0">
      <w:start w:val="6"/>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6"/>
  </w:num>
  <w:num w:numId="2">
    <w:abstractNumId w:val="4"/>
  </w:num>
  <w:num w:numId="3">
    <w:abstractNumId w:val="2"/>
  </w:num>
  <w:num w:numId="4">
    <w:abstractNumId w:val="10"/>
  </w:num>
  <w:num w:numId="5">
    <w:abstractNumId w:val="3"/>
  </w:num>
  <w:num w:numId="6">
    <w:abstractNumId w:val="12"/>
  </w:num>
  <w:num w:numId="7">
    <w:abstractNumId w:val="8"/>
  </w:num>
  <w:num w:numId="8">
    <w:abstractNumId w:val="6"/>
  </w:num>
  <w:num w:numId="9">
    <w:abstractNumId w:val="9"/>
  </w:num>
  <w:num w:numId="10">
    <w:abstractNumId w:val="7"/>
  </w:num>
  <w:num w:numId="11">
    <w:abstractNumId w:val="5"/>
  </w:num>
  <w:num w:numId="12">
    <w:abstractNumId w:val="11"/>
  </w:num>
  <w:num w:numId="13">
    <w:abstractNumId w:val="17"/>
  </w:num>
  <w:num w:numId="14">
    <w:abstractNumId w:val="22"/>
  </w:num>
  <w:num w:numId="15">
    <w:abstractNumId w:val="18"/>
  </w:num>
  <w:num w:numId="16">
    <w:abstractNumId w:val="21"/>
  </w:num>
  <w:num w:numId="17">
    <w:abstractNumId w:val="14"/>
  </w:num>
  <w:num w:numId="18">
    <w:abstractNumId w:val="15"/>
  </w:num>
  <w:num w:numId="19">
    <w:abstractNumId w:val="20"/>
  </w:num>
  <w:num w:numId="20">
    <w:abstractNumId w:val="0"/>
  </w:num>
  <w:num w:numId="21">
    <w:abstractNumId w:val="13"/>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68"/>
    <w:rsid w:val="000054AD"/>
    <w:rsid w:val="00005D4A"/>
    <w:rsid w:val="00005DC7"/>
    <w:rsid w:val="00006B4E"/>
    <w:rsid w:val="00006DDD"/>
    <w:rsid w:val="00010879"/>
    <w:rsid w:val="00010D30"/>
    <w:rsid w:val="00011304"/>
    <w:rsid w:val="00011513"/>
    <w:rsid w:val="00012E6D"/>
    <w:rsid w:val="00012F08"/>
    <w:rsid w:val="000141D1"/>
    <w:rsid w:val="0001491E"/>
    <w:rsid w:val="0001629B"/>
    <w:rsid w:val="00016FE2"/>
    <w:rsid w:val="00021252"/>
    <w:rsid w:val="0002128C"/>
    <w:rsid w:val="000227A9"/>
    <w:rsid w:val="00024BCF"/>
    <w:rsid w:val="000252FD"/>
    <w:rsid w:val="00025414"/>
    <w:rsid w:val="00030418"/>
    <w:rsid w:val="000305AD"/>
    <w:rsid w:val="0003300E"/>
    <w:rsid w:val="0003452C"/>
    <w:rsid w:val="00034868"/>
    <w:rsid w:val="00035C9C"/>
    <w:rsid w:val="0003664D"/>
    <w:rsid w:val="0003776A"/>
    <w:rsid w:val="00040A06"/>
    <w:rsid w:val="00040E34"/>
    <w:rsid w:val="00041B22"/>
    <w:rsid w:val="00041D1D"/>
    <w:rsid w:val="00044EFC"/>
    <w:rsid w:val="00045B61"/>
    <w:rsid w:val="00045E9D"/>
    <w:rsid w:val="0004606F"/>
    <w:rsid w:val="0004706F"/>
    <w:rsid w:val="0004737B"/>
    <w:rsid w:val="00047BE9"/>
    <w:rsid w:val="000504C3"/>
    <w:rsid w:val="000523C3"/>
    <w:rsid w:val="00052ED3"/>
    <w:rsid w:val="000532FB"/>
    <w:rsid w:val="00055312"/>
    <w:rsid w:val="0005682D"/>
    <w:rsid w:val="0005708D"/>
    <w:rsid w:val="0005727F"/>
    <w:rsid w:val="000611BF"/>
    <w:rsid w:val="0006128F"/>
    <w:rsid w:val="000643EB"/>
    <w:rsid w:val="0006566F"/>
    <w:rsid w:val="0006667C"/>
    <w:rsid w:val="00066F33"/>
    <w:rsid w:val="00067C45"/>
    <w:rsid w:val="00067E99"/>
    <w:rsid w:val="00071707"/>
    <w:rsid w:val="00071829"/>
    <w:rsid w:val="000720A2"/>
    <w:rsid w:val="0007308C"/>
    <w:rsid w:val="00073189"/>
    <w:rsid w:val="000734DB"/>
    <w:rsid w:val="00073511"/>
    <w:rsid w:val="0007419F"/>
    <w:rsid w:val="0007454F"/>
    <w:rsid w:val="000747D9"/>
    <w:rsid w:val="00075C0A"/>
    <w:rsid w:val="00075D20"/>
    <w:rsid w:val="00076158"/>
    <w:rsid w:val="00076614"/>
    <w:rsid w:val="00080346"/>
    <w:rsid w:val="00080609"/>
    <w:rsid w:val="000808D4"/>
    <w:rsid w:val="000813FA"/>
    <w:rsid w:val="00082831"/>
    <w:rsid w:val="00082ECF"/>
    <w:rsid w:val="0008320D"/>
    <w:rsid w:val="00083823"/>
    <w:rsid w:val="00085C13"/>
    <w:rsid w:val="00086379"/>
    <w:rsid w:val="00086DFA"/>
    <w:rsid w:val="00087119"/>
    <w:rsid w:val="0009020B"/>
    <w:rsid w:val="0009031B"/>
    <w:rsid w:val="00090CD0"/>
    <w:rsid w:val="0009274A"/>
    <w:rsid w:val="00093407"/>
    <w:rsid w:val="00093559"/>
    <w:rsid w:val="00093EA1"/>
    <w:rsid w:val="00095EA6"/>
    <w:rsid w:val="00097E54"/>
    <w:rsid w:val="000A0B2B"/>
    <w:rsid w:val="000A1A2A"/>
    <w:rsid w:val="000A2B29"/>
    <w:rsid w:val="000A32DB"/>
    <w:rsid w:val="000A403E"/>
    <w:rsid w:val="000A5789"/>
    <w:rsid w:val="000A6ECD"/>
    <w:rsid w:val="000A7298"/>
    <w:rsid w:val="000B012E"/>
    <w:rsid w:val="000B0802"/>
    <w:rsid w:val="000B083C"/>
    <w:rsid w:val="000B118B"/>
    <w:rsid w:val="000B198C"/>
    <w:rsid w:val="000B238C"/>
    <w:rsid w:val="000B2A27"/>
    <w:rsid w:val="000B2E81"/>
    <w:rsid w:val="000B5EB6"/>
    <w:rsid w:val="000B63D7"/>
    <w:rsid w:val="000B65FD"/>
    <w:rsid w:val="000B7C6C"/>
    <w:rsid w:val="000C0902"/>
    <w:rsid w:val="000C169E"/>
    <w:rsid w:val="000C5C4E"/>
    <w:rsid w:val="000C68CB"/>
    <w:rsid w:val="000C69BF"/>
    <w:rsid w:val="000C7F0D"/>
    <w:rsid w:val="000D03A1"/>
    <w:rsid w:val="000D0627"/>
    <w:rsid w:val="000D07C3"/>
    <w:rsid w:val="000D184A"/>
    <w:rsid w:val="000D28D5"/>
    <w:rsid w:val="000D4886"/>
    <w:rsid w:val="000D4B1F"/>
    <w:rsid w:val="000D55DC"/>
    <w:rsid w:val="000D6319"/>
    <w:rsid w:val="000D7176"/>
    <w:rsid w:val="000D72E2"/>
    <w:rsid w:val="000D75B2"/>
    <w:rsid w:val="000E12CA"/>
    <w:rsid w:val="000E61C3"/>
    <w:rsid w:val="000E7B99"/>
    <w:rsid w:val="000E7E59"/>
    <w:rsid w:val="000E7EF6"/>
    <w:rsid w:val="000F0752"/>
    <w:rsid w:val="000F1C8B"/>
    <w:rsid w:val="000F1DD3"/>
    <w:rsid w:val="000F2DF8"/>
    <w:rsid w:val="000F326C"/>
    <w:rsid w:val="000F3D25"/>
    <w:rsid w:val="000F441D"/>
    <w:rsid w:val="000F6BE1"/>
    <w:rsid w:val="000F78A6"/>
    <w:rsid w:val="000F7B27"/>
    <w:rsid w:val="0010006B"/>
    <w:rsid w:val="00100C34"/>
    <w:rsid w:val="001011F6"/>
    <w:rsid w:val="00102D4D"/>
    <w:rsid w:val="00103527"/>
    <w:rsid w:val="00103EF4"/>
    <w:rsid w:val="00105E66"/>
    <w:rsid w:val="00105EE8"/>
    <w:rsid w:val="001061B6"/>
    <w:rsid w:val="001062FC"/>
    <w:rsid w:val="00106D8D"/>
    <w:rsid w:val="00107490"/>
    <w:rsid w:val="001076D4"/>
    <w:rsid w:val="0011241C"/>
    <w:rsid w:val="001132D9"/>
    <w:rsid w:val="001148E5"/>
    <w:rsid w:val="00117C63"/>
    <w:rsid w:val="00117D03"/>
    <w:rsid w:val="00120B7A"/>
    <w:rsid w:val="00120EA3"/>
    <w:rsid w:val="0012233B"/>
    <w:rsid w:val="00122505"/>
    <w:rsid w:val="00122756"/>
    <w:rsid w:val="00122D07"/>
    <w:rsid w:val="00123571"/>
    <w:rsid w:val="001241FA"/>
    <w:rsid w:val="001243E3"/>
    <w:rsid w:val="00124508"/>
    <w:rsid w:val="00124A3B"/>
    <w:rsid w:val="00124E1B"/>
    <w:rsid w:val="00124F19"/>
    <w:rsid w:val="00125A04"/>
    <w:rsid w:val="00126E7A"/>
    <w:rsid w:val="00126F46"/>
    <w:rsid w:val="001273DF"/>
    <w:rsid w:val="00130C8C"/>
    <w:rsid w:val="001310E9"/>
    <w:rsid w:val="001313AE"/>
    <w:rsid w:val="00132831"/>
    <w:rsid w:val="001329BD"/>
    <w:rsid w:val="001337C8"/>
    <w:rsid w:val="00141659"/>
    <w:rsid w:val="001439A4"/>
    <w:rsid w:val="00143D8A"/>
    <w:rsid w:val="001445BC"/>
    <w:rsid w:val="0014479B"/>
    <w:rsid w:val="00144C99"/>
    <w:rsid w:val="00146B32"/>
    <w:rsid w:val="00147709"/>
    <w:rsid w:val="00150907"/>
    <w:rsid w:val="00151E87"/>
    <w:rsid w:val="00151F90"/>
    <w:rsid w:val="00152ED7"/>
    <w:rsid w:val="001543B8"/>
    <w:rsid w:val="001559E8"/>
    <w:rsid w:val="00155A2E"/>
    <w:rsid w:val="001566DD"/>
    <w:rsid w:val="001574C8"/>
    <w:rsid w:val="00157E2C"/>
    <w:rsid w:val="00160B10"/>
    <w:rsid w:val="00160DB6"/>
    <w:rsid w:val="00160F51"/>
    <w:rsid w:val="00161146"/>
    <w:rsid w:val="00163388"/>
    <w:rsid w:val="00167310"/>
    <w:rsid w:val="00170980"/>
    <w:rsid w:val="001712BD"/>
    <w:rsid w:val="001719E2"/>
    <w:rsid w:val="00171CB5"/>
    <w:rsid w:val="001720C5"/>
    <w:rsid w:val="001728F6"/>
    <w:rsid w:val="00172A27"/>
    <w:rsid w:val="001736A4"/>
    <w:rsid w:val="00173C6F"/>
    <w:rsid w:val="00175075"/>
    <w:rsid w:val="00176468"/>
    <w:rsid w:val="00176BD0"/>
    <w:rsid w:val="00180851"/>
    <w:rsid w:val="001808E9"/>
    <w:rsid w:val="00180BBE"/>
    <w:rsid w:val="00181833"/>
    <w:rsid w:val="0018246D"/>
    <w:rsid w:val="00182D88"/>
    <w:rsid w:val="001848C9"/>
    <w:rsid w:val="001869E8"/>
    <w:rsid w:val="00191176"/>
    <w:rsid w:val="00193769"/>
    <w:rsid w:val="001938CC"/>
    <w:rsid w:val="00193F73"/>
    <w:rsid w:val="00194C7B"/>
    <w:rsid w:val="00194D7C"/>
    <w:rsid w:val="00196616"/>
    <w:rsid w:val="00196D14"/>
    <w:rsid w:val="001978F2"/>
    <w:rsid w:val="00197BCA"/>
    <w:rsid w:val="00197BE6"/>
    <w:rsid w:val="00197D3F"/>
    <w:rsid w:val="001A0FF0"/>
    <w:rsid w:val="001A2E25"/>
    <w:rsid w:val="001A2E75"/>
    <w:rsid w:val="001A396A"/>
    <w:rsid w:val="001A49FB"/>
    <w:rsid w:val="001A5B84"/>
    <w:rsid w:val="001A6292"/>
    <w:rsid w:val="001A6DAA"/>
    <w:rsid w:val="001B0E59"/>
    <w:rsid w:val="001B3AEC"/>
    <w:rsid w:val="001B3F56"/>
    <w:rsid w:val="001B62F9"/>
    <w:rsid w:val="001C0EE3"/>
    <w:rsid w:val="001C114E"/>
    <w:rsid w:val="001C2B04"/>
    <w:rsid w:val="001C6217"/>
    <w:rsid w:val="001C6CE5"/>
    <w:rsid w:val="001D1B34"/>
    <w:rsid w:val="001D2438"/>
    <w:rsid w:val="001D2AED"/>
    <w:rsid w:val="001D2AF5"/>
    <w:rsid w:val="001D420C"/>
    <w:rsid w:val="001D4215"/>
    <w:rsid w:val="001D4F84"/>
    <w:rsid w:val="001D5266"/>
    <w:rsid w:val="001D5D8B"/>
    <w:rsid w:val="001D678F"/>
    <w:rsid w:val="001D6F7E"/>
    <w:rsid w:val="001D7DFD"/>
    <w:rsid w:val="001E01B6"/>
    <w:rsid w:val="001E2AC8"/>
    <w:rsid w:val="001E3FEB"/>
    <w:rsid w:val="001E413D"/>
    <w:rsid w:val="001E6138"/>
    <w:rsid w:val="001E671D"/>
    <w:rsid w:val="001E6DEA"/>
    <w:rsid w:val="001E6FAA"/>
    <w:rsid w:val="001F0EDA"/>
    <w:rsid w:val="001F2338"/>
    <w:rsid w:val="001F2B7D"/>
    <w:rsid w:val="001F3258"/>
    <w:rsid w:val="001F3915"/>
    <w:rsid w:val="001F549F"/>
    <w:rsid w:val="001F5D25"/>
    <w:rsid w:val="00200B91"/>
    <w:rsid w:val="0020367B"/>
    <w:rsid w:val="00203A85"/>
    <w:rsid w:val="00203FAA"/>
    <w:rsid w:val="0020439D"/>
    <w:rsid w:val="00204AF9"/>
    <w:rsid w:val="00205458"/>
    <w:rsid w:val="002103C8"/>
    <w:rsid w:val="00213B47"/>
    <w:rsid w:val="0021696E"/>
    <w:rsid w:val="002220B0"/>
    <w:rsid w:val="002239F7"/>
    <w:rsid w:val="002255A8"/>
    <w:rsid w:val="00226717"/>
    <w:rsid w:val="002272D2"/>
    <w:rsid w:val="002276AE"/>
    <w:rsid w:val="00227A3B"/>
    <w:rsid w:val="00234573"/>
    <w:rsid w:val="002354CB"/>
    <w:rsid w:val="0023589C"/>
    <w:rsid w:val="002374D5"/>
    <w:rsid w:val="002406B1"/>
    <w:rsid w:val="00240942"/>
    <w:rsid w:val="00240992"/>
    <w:rsid w:val="00240DFD"/>
    <w:rsid w:val="00240E80"/>
    <w:rsid w:val="00243EF9"/>
    <w:rsid w:val="00245ECC"/>
    <w:rsid w:val="00247559"/>
    <w:rsid w:val="00250056"/>
    <w:rsid w:val="00250DCC"/>
    <w:rsid w:val="00253895"/>
    <w:rsid w:val="00253D83"/>
    <w:rsid w:val="00254308"/>
    <w:rsid w:val="00254CDB"/>
    <w:rsid w:val="00255204"/>
    <w:rsid w:val="002554F3"/>
    <w:rsid w:val="002572A8"/>
    <w:rsid w:val="00260B9D"/>
    <w:rsid w:val="002610C1"/>
    <w:rsid w:val="00261852"/>
    <w:rsid w:val="0026303D"/>
    <w:rsid w:val="002641DB"/>
    <w:rsid w:val="002648E7"/>
    <w:rsid w:val="00265C1B"/>
    <w:rsid w:val="00266179"/>
    <w:rsid w:val="0027018D"/>
    <w:rsid w:val="00270F1A"/>
    <w:rsid w:val="00271BEF"/>
    <w:rsid w:val="002736F3"/>
    <w:rsid w:val="00273D8B"/>
    <w:rsid w:val="002745D5"/>
    <w:rsid w:val="00276BC3"/>
    <w:rsid w:val="00277175"/>
    <w:rsid w:val="00277845"/>
    <w:rsid w:val="00277A29"/>
    <w:rsid w:val="0028069E"/>
    <w:rsid w:val="002817B9"/>
    <w:rsid w:val="002818B7"/>
    <w:rsid w:val="002821F0"/>
    <w:rsid w:val="002822CE"/>
    <w:rsid w:val="0028290C"/>
    <w:rsid w:val="0028384F"/>
    <w:rsid w:val="00284A17"/>
    <w:rsid w:val="002864BB"/>
    <w:rsid w:val="00286F22"/>
    <w:rsid w:val="00286F98"/>
    <w:rsid w:val="00287CD0"/>
    <w:rsid w:val="00290037"/>
    <w:rsid w:val="0029097C"/>
    <w:rsid w:val="002923ED"/>
    <w:rsid w:val="0029356A"/>
    <w:rsid w:val="0029442B"/>
    <w:rsid w:val="00297364"/>
    <w:rsid w:val="002A0415"/>
    <w:rsid w:val="002A0756"/>
    <w:rsid w:val="002A0FF3"/>
    <w:rsid w:val="002A1870"/>
    <w:rsid w:val="002A3D3F"/>
    <w:rsid w:val="002A52D2"/>
    <w:rsid w:val="002A5D19"/>
    <w:rsid w:val="002A7523"/>
    <w:rsid w:val="002B19B9"/>
    <w:rsid w:val="002B1B2F"/>
    <w:rsid w:val="002B2730"/>
    <w:rsid w:val="002B3FA6"/>
    <w:rsid w:val="002B4036"/>
    <w:rsid w:val="002B5B4F"/>
    <w:rsid w:val="002C12F0"/>
    <w:rsid w:val="002C1DF1"/>
    <w:rsid w:val="002C2059"/>
    <w:rsid w:val="002C22EC"/>
    <w:rsid w:val="002C26CE"/>
    <w:rsid w:val="002C2A05"/>
    <w:rsid w:val="002C2B78"/>
    <w:rsid w:val="002C321C"/>
    <w:rsid w:val="002C34AE"/>
    <w:rsid w:val="002C4265"/>
    <w:rsid w:val="002C4C5C"/>
    <w:rsid w:val="002C5B08"/>
    <w:rsid w:val="002C5B62"/>
    <w:rsid w:val="002C76EA"/>
    <w:rsid w:val="002C772E"/>
    <w:rsid w:val="002D0794"/>
    <w:rsid w:val="002D0D06"/>
    <w:rsid w:val="002D1D6A"/>
    <w:rsid w:val="002D2407"/>
    <w:rsid w:val="002D2C06"/>
    <w:rsid w:val="002D3CBC"/>
    <w:rsid w:val="002D4199"/>
    <w:rsid w:val="002D5774"/>
    <w:rsid w:val="002D64AB"/>
    <w:rsid w:val="002D69C1"/>
    <w:rsid w:val="002E27B4"/>
    <w:rsid w:val="002E2A8C"/>
    <w:rsid w:val="002E433B"/>
    <w:rsid w:val="002E5BBB"/>
    <w:rsid w:val="002E5FD5"/>
    <w:rsid w:val="002E650E"/>
    <w:rsid w:val="002E6F83"/>
    <w:rsid w:val="002E7348"/>
    <w:rsid w:val="002F03A0"/>
    <w:rsid w:val="002F0489"/>
    <w:rsid w:val="002F182C"/>
    <w:rsid w:val="002F1A1A"/>
    <w:rsid w:val="002F286E"/>
    <w:rsid w:val="002F390E"/>
    <w:rsid w:val="002F40FB"/>
    <w:rsid w:val="002F435F"/>
    <w:rsid w:val="002F55C3"/>
    <w:rsid w:val="002F77FB"/>
    <w:rsid w:val="003027DE"/>
    <w:rsid w:val="00302DDF"/>
    <w:rsid w:val="00303165"/>
    <w:rsid w:val="00303B8A"/>
    <w:rsid w:val="0030410F"/>
    <w:rsid w:val="00304DAB"/>
    <w:rsid w:val="00306149"/>
    <w:rsid w:val="003069EF"/>
    <w:rsid w:val="00307C81"/>
    <w:rsid w:val="003156B6"/>
    <w:rsid w:val="00316674"/>
    <w:rsid w:val="00320A65"/>
    <w:rsid w:val="003210AE"/>
    <w:rsid w:val="00321A27"/>
    <w:rsid w:val="00324D93"/>
    <w:rsid w:val="0032662E"/>
    <w:rsid w:val="003323DC"/>
    <w:rsid w:val="00336357"/>
    <w:rsid w:val="0033646D"/>
    <w:rsid w:val="003365C8"/>
    <w:rsid w:val="00337297"/>
    <w:rsid w:val="00337851"/>
    <w:rsid w:val="00337D1E"/>
    <w:rsid w:val="0034020D"/>
    <w:rsid w:val="00340820"/>
    <w:rsid w:val="00342CBB"/>
    <w:rsid w:val="003434B3"/>
    <w:rsid w:val="00344151"/>
    <w:rsid w:val="00346A1F"/>
    <w:rsid w:val="00347BFA"/>
    <w:rsid w:val="00350885"/>
    <w:rsid w:val="0035188E"/>
    <w:rsid w:val="003518D9"/>
    <w:rsid w:val="00351B64"/>
    <w:rsid w:val="00354624"/>
    <w:rsid w:val="003550F1"/>
    <w:rsid w:val="00355643"/>
    <w:rsid w:val="003565B6"/>
    <w:rsid w:val="0035763B"/>
    <w:rsid w:val="00357E1E"/>
    <w:rsid w:val="0036020D"/>
    <w:rsid w:val="00360A5B"/>
    <w:rsid w:val="00361D75"/>
    <w:rsid w:val="00361F5F"/>
    <w:rsid w:val="00362CBB"/>
    <w:rsid w:val="00362FBB"/>
    <w:rsid w:val="00363332"/>
    <w:rsid w:val="003647D3"/>
    <w:rsid w:val="00366A37"/>
    <w:rsid w:val="00370EE3"/>
    <w:rsid w:val="00371B75"/>
    <w:rsid w:val="0037468D"/>
    <w:rsid w:val="00376283"/>
    <w:rsid w:val="003803E1"/>
    <w:rsid w:val="00380403"/>
    <w:rsid w:val="00380721"/>
    <w:rsid w:val="00380C99"/>
    <w:rsid w:val="00380CF7"/>
    <w:rsid w:val="00382C2A"/>
    <w:rsid w:val="00385574"/>
    <w:rsid w:val="003855CD"/>
    <w:rsid w:val="00392968"/>
    <w:rsid w:val="00392D12"/>
    <w:rsid w:val="00393017"/>
    <w:rsid w:val="003939F6"/>
    <w:rsid w:val="00394131"/>
    <w:rsid w:val="003944CE"/>
    <w:rsid w:val="003960A0"/>
    <w:rsid w:val="00396AE9"/>
    <w:rsid w:val="00396CD1"/>
    <w:rsid w:val="00397060"/>
    <w:rsid w:val="003A1063"/>
    <w:rsid w:val="003A3CAA"/>
    <w:rsid w:val="003A4554"/>
    <w:rsid w:val="003A4609"/>
    <w:rsid w:val="003A6996"/>
    <w:rsid w:val="003A6CE6"/>
    <w:rsid w:val="003B09FA"/>
    <w:rsid w:val="003B0FDE"/>
    <w:rsid w:val="003B149B"/>
    <w:rsid w:val="003B1B30"/>
    <w:rsid w:val="003B2458"/>
    <w:rsid w:val="003B3270"/>
    <w:rsid w:val="003B36BC"/>
    <w:rsid w:val="003B4027"/>
    <w:rsid w:val="003B4569"/>
    <w:rsid w:val="003B4973"/>
    <w:rsid w:val="003B4FE1"/>
    <w:rsid w:val="003B6688"/>
    <w:rsid w:val="003B764D"/>
    <w:rsid w:val="003C0BBB"/>
    <w:rsid w:val="003C2541"/>
    <w:rsid w:val="003C3CF5"/>
    <w:rsid w:val="003C3E86"/>
    <w:rsid w:val="003C682E"/>
    <w:rsid w:val="003C6E56"/>
    <w:rsid w:val="003C7CB7"/>
    <w:rsid w:val="003D0635"/>
    <w:rsid w:val="003D205A"/>
    <w:rsid w:val="003D31B4"/>
    <w:rsid w:val="003D3A87"/>
    <w:rsid w:val="003D3BBB"/>
    <w:rsid w:val="003D3DD3"/>
    <w:rsid w:val="003D4752"/>
    <w:rsid w:val="003D4BBD"/>
    <w:rsid w:val="003D6027"/>
    <w:rsid w:val="003D67F5"/>
    <w:rsid w:val="003D680B"/>
    <w:rsid w:val="003D702F"/>
    <w:rsid w:val="003E04E3"/>
    <w:rsid w:val="003E05FA"/>
    <w:rsid w:val="003E0F4C"/>
    <w:rsid w:val="003E19E2"/>
    <w:rsid w:val="003E3217"/>
    <w:rsid w:val="003E34E8"/>
    <w:rsid w:val="003E568D"/>
    <w:rsid w:val="003E56E5"/>
    <w:rsid w:val="003E61B4"/>
    <w:rsid w:val="003E7345"/>
    <w:rsid w:val="003E7E04"/>
    <w:rsid w:val="003F14F8"/>
    <w:rsid w:val="003F1671"/>
    <w:rsid w:val="003F22A9"/>
    <w:rsid w:val="003F3483"/>
    <w:rsid w:val="003F37FD"/>
    <w:rsid w:val="003F395C"/>
    <w:rsid w:val="003F3A15"/>
    <w:rsid w:val="003F43F3"/>
    <w:rsid w:val="003F48D7"/>
    <w:rsid w:val="003F5203"/>
    <w:rsid w:val="003F523C"/>
    <w:rsid w:val="003F53B2"/>
    <w:rsid w:val="003F5C04"/>
    <w:rsid w:val="003F7218"/>
    <w:rsid w:val="003F793D"/>
    <w:rsid w:val="003F7A58"/>
    <w:rsid w:val="0040059C"/>
    <w:rsid w:val="004012FE"/>
    <w:rsid w:val="00401573"/>
    <w:rsid w:val="004038BF"/>
    <w:rsid w:val="0040477B"/>
    <w:rsid w:val="00404BC3"/>
    <w:rsid w:val="00405A5C"/>
    <w:rsid w:val="004062FB"/>
    <w:rsid w:val="004071F5"/>
    <w:rsid w:val="00407462"/>
    <w:rsid w:val="00407A46"/>
    <w:rsid w:val="0041026B"/>
    <w:rsid w:val="004104BB"/>
    <w:rsid w:val="004105B1"/>
    <w:rsid w:val="00410E7A"/>
    <w:rsid w:val="0041149D"/>
    <w:rsid w:val="00412572"/>
    <w:rsid w:val="00412965"/>
    <w:rsid w:val="00414158"/>
    <w:rsid w:val="00415216"/>
    <w:rsid w:val="00415DAE"/>
    <w:rsid w:val="0041732E"/>
    <w:rsid w:val="00420910"/>
    <w:rsid w:val="00420E8C"/>
    <w:rsid w:val="00423390"/>
    <w:rsid w:val="00423B7A"/>
    <w:rsid w:val="00424139"/>
    <w:rsid w:val="00424BCB"/>
    <w:rsid w:val="00424E33"/>
    <w:rsid w:val="004267A9"/>
    <w:rsid w:val="004272B0"/>
    <w:rsid w:val="0042747A"/>
    <w:rsid w:val="00430175"/>
    <w:rsid w:val="0043028A"/>
    <w:rsid w:val="004312AA"/>
    <w:rsid w:val="0043167D"/>
    <w:rsid w:val="00431871"/>
    <w:rsid w:val="00431D4A"/>
    <w:rsid w:val="00431DB1"/>
    <w:rsid w:val="0043263B"/>
    <w:rsid w:val="00432DBF"/>
    <w:rsid w:val="00433838"/>
    <w:rsid w:val="004348A1"/>
    <w:rsid w:val="004350D7"/>
    <w:rsid w:val="00436C89"/>
    <w:rsid w:val="00436E52"/>
    <w:rsid w:val="004370F1"/>
    <w:rsid w:val="004371A4"/>
    <w:rsid w:val="00440502"/>
    <w:rsid w:val="00440FE1"/>
    <w:rsid w:val="00444723"/>
    <w:rsid w:val="004450C6"/>
    <w:rsid w:val="0044583A"/>
    <w:rsid w:val="00445949"/>
    <w:rsid w:val="00445CE6"/>
    <w:rsid w:val="0044706C"/>
    <w:rsid w:val="00447EC1"/>
    <w:rsid w:val="00454FDA"/>
    <w:rsid w:val="00455CDA"/>
    <w:rsid w:val="00456C6F"/>
    <w:rsid w:val="004573C1"/>
    <w:rsid w:val="004573DA"/>
    <w:rsid w:val="00457E43"/>
    <w:rsid w:val="004616DB"/>
    <w:rsid w:val="00461769"/>
    <w:rsid w:val="00461B66"/>
    <w:rsid w:val="004626A6"/>
    <w:rsid w:val="0046301D"/>
    <w:rsid w:val="00463958"/>
    <w:rsid w:val="00463D24"/>
    <w:rsid w:val="004653D7"/>
    <w:rsid w:val="0046584B"/>
    <w:rsid w:val="00466DBD"/>
    <w:rsid w:val="00471D94"/>
    <w:rsid w:val="00472F89"/>
    <w:rsid w:val="0047308B"/>
    <w:rsid w:val="0047529B"/>
    <w:rsid w:val="00476823"/>
    <w:rsid w:val="004771EE"/>
    <w:rsid w:val="004775F5"/>
    <w:rsid w:val="00477826"/>
    <w:rsid w:val="00481954"/>
    <w:rsid w:val="004829E4"/>
    <w:rsid w:val="00483831"/>
    <w:rsid w:val="004838BE"/>
    <w:rsid w:val="004848C0"/>
    <w:rsid w:val="0048528A"/>
    <w:rsid w:val="004858CB"/>
    <w:rsid w:val="00486895"/>
    <w:rsid w:val="00486CFF"/>
    <w:rsid w:val="00486D37"/>
    <w:rsid w:val="00487242"/>
    <w:rsid w:val="0049018A"/>
    <w:rsid w:val="004918AF"/>
    <w:rsid w:val="00491AF4"/>
    <w:rsid w:val="004920FE"/>
    <w:rsid w:val="00492F6C"/>
    <w:rsid w:val="004937AB"/>
    <w:rsid w:val="0049490A"/>
    <w:rsid w:val="00495104"/>
    <w:rsid w:val="0049624A"/>
    <w:rsid w:val="00496DBE"/>
    <w:rsid w:val="004A1047"/>
    <w:rsid w:val="004A4060"/>
    <w:rsid w:val="004A4462"/>
    <w:rsid w:val="004A471E"/>
    <w:rsid w:val="004A4877"/>
    <w:rsid w:val="004A4AC6"/>
    <w:rsid w:val="004B0ED1"/>
    <w:rsid w:val="004B132D"/>
    <w:rsid w:val="004B1732"/>
    <w:rsid w:val="004B1C43"/>
    <w:rsid w:val="004B20DA"/>
    <w:rsid w:val="004B2195"/>
    <w:rsid w:val="004B2A22"/>
    <w:rsid w:val="004B3F08"/>
    <w:rsid w:val="004C19CA"/>
    <w:rsid w:val="004C1B59"/>
    <w:rsid w:val="004C3054"/>
    <w:rsid w:val="004C3970"/>
    <w:rsid w:val="004C3F61"/>
    <w:rsid w:val="004C4EB0"/>
    <w:rsid w:val="004C5079"/>
    <w:rsid w:val="004C50EB"/>
    <w:rsid w:val="004C5362"/>
    <w:rsid w:val="004C7251"/>
    <w:rsid w:val="004C799C"/>
    <w:rsid w:val="004D02A8"/>
    <w:rsid w:val="004D0840"/>
    <w:rsid w:val="004D0FD6"/>
    <w:rsid w:val="004D123F"/>
    <w:rsid w:val="004D27F7"/>
    <w:rsid w:val="004D2CF5"/>
    <w:rsid w:val="004D3350"/>
    <w:rsid w:val="004D372F"/>
    <w:rsid w:val="004D78B1"/>
    <w:rsid w:val="004D7B43"/>
    <w:rsid w:val="004E1262"/>
    <w:rsid w:val="004E2DFE"/>
    <w:rsid w:val="004E310C"/>
    <w:rsid w:val="004E4C97"/>
    <w:rsid w:val="004E5EF7"/>
    <w:rsid w:val="004E6214"/>
    <w:rsid w:val="004E75F6"/>
    <w:rsid w:val="004F0318"/>
    <w:rsid w:val="004F05EC"/>
    <w:rsid w:val="004F0844"/>
    <w:rsid w:val="004F0A4D"/>
    <w:rsid w:val="004F2197"/>
    <w:rsid w:val="004F2355"/>
    <w:rsid w:val="004F243D"/>
    <w:rsid w:val="004F256F"/>
    <w:rsid w:val="004F2600"/>
    <w:rsid w:val="004F28E4"/>
    <w:rsid w:val="004F2CBF"/>
    <w:rsid w:val="004F2F2D"/>
    <w:rsid w:val="004F36C4"/>
    <w:rsid w:val="004F4D0A"/>
    <w:rsid w:val="004F7211"/>
    <w:rsid w:val="004F7A7D"/>
    <w:rsid w:val="005015F3"/>
    <w:rsid w:val="00502AD9"/>
    <w:rsid w:val="00503407"/>
    <w:rsid w:val="00503575"/>
    <w:rsid w:val="00503907"/>
    <w:rsid w:val="0050405D"/>
    <w:rsid w:val="0050426C"/>
    <w:rsid w:val="00504C12"/>
    <w:rsid w:val="00505AF7"/>
    <w:rsid w:val="00507222"/>
    <w:rsid w:val="00507945"/>
    <w:rsid w:val="00510240"/>
    <w:rsid w:val="00510BA5"/>
    <w:rsid w:val="00512269"/>
    <w:rsid w:val="005137F9"/>
    <w:rsid w:val="0051534E"/>
    <w:rsid w:val="00516A1B"/>
    <w:rsid w:val="005173B2"/>
    <w:rsid w:val="005204DC"/>
    <w:rsid w:val="005213A2"/>
    <w:rsid w:val="0052180B"/>
    <w:rsid w:val="00521C90"/>
    <w:rsid w:val="00522CA2"/>
    <w:rsid w:val="00522D75"/>
    <w:rsid w:val="00523334"/>
    <w:rsid w:val="00523D21"/>
    <w:rsid w:val="005249DA"/>
    <w:rsid w:val="00524C40"/>
    <w:rsid w:val="00527CE5"/>
    <w:rsid w:val="00531868"/>
    <w:rsid w:val="00531D78"/>
    <w:rsid w:val="00533480"/>
    <w:rsid w:val="00534369"/>
    <w:rsid w:val="00535260"/>
    <w:rsid w:val="00535323"/>
    <w:rsid w:val="005365C2"/>
    <w:rsid w:val="005378E3"/>
    <w:rsid w:val="00540CCB"/>
    <w:rsid w:val="005445B8"/>
    <w:rsid w:val="00544D61"/>
    <w:rsid w:val="0054510A"/>
    <w:rsid w:val="00546D69"/>
    <w:rsid w:val="00547CF1"/>
    <w:rsid w:val="00547FE8"/>
    <w:rsid w:val="00550096"/>
    <w:rsid w:val="0055039F"/>
    <w:rsid w:val="00550E66"/>
    <w:rsid w:val="00551170"/>
    <w:rsid w:val="0055150A"/>
    <w:rsid w:val="0055186B"/>
    <w:rsid w:val="0055189C"/>
    <w:rsid w:val="00552362"/>
    <w:rsid w:val="0055295F"/>
    <w:rsid w:val="00554097"/>
    <w:rsid w:val="005555C7"/>
    <w:rsid w:val="00556209"/>
    <w:rsid w:val="00557BE5"/>
    <w:rsid w:val="00560782"/>
    <w:rsid w:val="00561AEA"/>
    <w:rsid w:val="00564340"/>
    <w:rsid w:val="005657B4"/>
    <w:rsid w:val="00565B0B"/>
    <w:rsid w:val="0056696E"/>
    <w:rsid w:val="00566AE0"/>
    <w:rsid w:val="00566ED9"/>
    <w:rsid w:val="0056757F"/>
    <w:rsid w:val="00570A35"/>
    <w:rsid w:val="00572579"/>
    <w:rsid w:val="00573709"/>
    <w:rsid w:val="00573BEA"/>
    <w:rsid w:val="00574371"/>
    <w:rsid w:val="00574E5F"/>
    <w:rsid w:val="005758DB"/>
    <w:rsid w:val="00576F88"/>
    <w:rsid w:val="00580E94"/>
    <w:rsid w:val="00580F24"/>
    <w:rsid w:val="00582B1B"/>
    <w:rsid w:val="005840BF"/>
    <w:rsid w:val="0058545F"/>
    <w:rsid w:val="0058699C"/>
    <w:rsid w:val="00587C08"/>
    <w:rsid w:val="005901FB"/>
    <w:rsid w:val="0059155B"/>
    <w:rsid w:val="00591825"/>
    <w:rsid w:val="005918C1"/>
    <w:rsid w:val="00592508"/>
    <w:rsid w:val="005930A5"/>
    <w:rsid w:val="005944C9"/>
    <w:rsid w:val="0059540B"/>
    <w:rsid w:val="005955C0"/>
    <w:rsid w:val="00595E43"/>
    <w:rsid w:val="0059694E"/>
    <w:rsid w:val="00596C2F"/>
    <w:rsid w:val="005972FB"/>
    <w:rsid w:val="0059756C"/>
    <w:rsid w:val="005A0C9C"/>
    <w:rsid w:val="005A2C4C"/>
    <w:rsid w:val="005A6357"/>
    <w:rsid w:val="005A74A5"/>
    <w:rsid w:val="005A7DCB"/>
    <w:rsid w:val="005A7F0A"/>
    <w:rsid w:val="005B111A"/>
    <w:rsid w:val="005B1300"/>
    <w:rsid w:val="005B3559"/>
    <w:rsid w:val="005B45FB"/>
    <w:rsid w:val="005B48E4"/>
    <w:rsid w:val="005B5A3E"/>
    <w:rsid w:val="005B6A22"/>
    <w:rsid w:val="005B71C6"/>
    <w:rsid w:val="005C0A5F"/>
    <w:rsid w:val="005C0B54"/>
    <w:rsid w:val="005C2F7F"/>
    <w:rsid w:val="005C4AEA"/>
    <w:rsid w:val="005C5BF5"/>
    <w:rsid w:val="005C73A0"/>
    <w:rsid w:val="005D0306"/>
    <w:rsid w:val="005D0329"/>
    <w:rsid w:val="005D0839"/>
    <w:rsid w:val="005D16A6"/>
    <w:rsid w:val="005D1E14"/>
    <w:rsid w:val="005D26C5"/>
    <w:rsid w:val="005D2B5A"/>
    <w:rsid w:val="005D354F"/>
    <w:rsid w:val="005D4C39"/>
    <w:rsid w:val="005D6A7D"/>
    <w:rsid w:val="005D72E3"/>
    <w:rsid w:val="005E05A1"/>
    <w:rsid w:val="005E13D4"/>
    <w:rsid w:val="005E31CE"/>
    <w:rsid w:val="005E4B9B"/>
    <w:rsid w:val="005E4DA7"/>
    <w:rsid w:val="005E5317"/>
    <w:rsid w:val="005E6A83"/>
    <w:rsid w:val="005E72DE"/>
    <w:rsid w:val="005F199D"/>
    <w:rsid w:val="005F1B5D"/>
    <w:rsid w:val="005F233E"/>
    <w:rsid w:val="005F26EA"/>
    <w:rsid w:val="005F27C0"/>
    <w:rsid w:val="005F3288"/>
    <w:rsid w:val="005F3A97"/>
    <w:rsid w:val="005F3D8C"/>
    <w:rsid w:val="005F50D5"/>
    <w:rsid w:val="005F609C"/>
    <w:rsid w:val="005F6E63"/>
    <w:rsid w:val="005F7A95"/>
    <w:rsid w:val="006000D3"/>
    <w:rsid w:val="006004FE"/>
    <w:rsid w:val="00600518"/>
    <w:rsid w:val="00600E3D"/>
    <w:rsid w:val="0060425F"/>
    <w:rsid w:val="006045CD"/>
    <w:rsid w:val="00604B8C"/>
    <w:rsid w:val="00604DED"/>
    <w:rsid w:val="00605925"/>
    <w:rsid w:val="00605E59"/>
    <w:rsid w:val="00606179"/>
    <w:rsid w:val="00607510"/>
    <w:rsid w:val="00613A79"/>
    <w:rsid w:val="006151C5"/>
    <w:rsid w:val="00617473"/>
    <w:rsid w:val="006174DF"/>
    <w:rsid w:val="00620D28"/>
    <w:rsid w:val="0062116A"/>
    <w:rsid w:val="00622083"/>
    <w:rsid w:val="0062341C"/>
    <w:rsid w:val="006236C9"/>
    <w:rsid w:val="0062386A"/>
    <w:rsid w:val="00624724"/>
    <w:rsid w:val="00624E37"/>
    <w:rsid w:val="00624FFA"/>
    <w:rsid w:val="0062598B"/>
    <w:rsid w:val="00626076"/>
    <w:rsid w:val="00626DAA"/>
    <w:rsid w:val="00630A36"/>
    <w:rsid w:val="006313B5"/>
    <w:rsid w:val="00631CA5"/>
    <w:rsid w:val="006371FD"/>
    <w:rsid w:val="00640002"/>
    <w:rsid w:val="006407B1"/>
    <w:rsid w:val="00640943"/>
    <w:rsid w:val="00642BCE"/>
    <w:rsid w:val="00647F78"/>
    <w:rsid w:val="006521E3"/>
    <w:rsid w:val="0065268F"/>
    <w:rsid w:val="006530C8"/>
    <w:rsid w:val="006531FE"/>
    <w:rsid w:val="0065350D"/>
    <w:rsid w:val="00653886"/>
    <w:rsid w:val="00653A2C"/>
    <w:rsid w:val="00655893"/>
    <w:rsid w:val="00655E2A"/>
    <w:rsid w:val="00662666"/>
    <w:rsid w:val="006633DD"/>
    <w:rsid w:val="0066358D"/>
    <w:rsid w:val="00664DA8"/>
    <w:rsid w:val="00665D69"/>
    <w:rsid w:val="00673E76"/>
    <w:rsid w:val="0067456C"/>
    <w:rsid w:val="00674B0F"/>
    <w:rsid w:val="00674D53"/>
    <w:rsid w:val="006752A4"/>
    <w:rsid w:val="00675BBA"/>
    <w:rsid w:val="00676236"/>
    <w:rsid w:val="00676788"/>
    <w:rsid w:val="006769D6"/>
    <w:rsid w:val="00676E85"/>
    <w:rsid w:val="00677352"/>
    <w:rsid w:val="00677526"/>
    <w:rsid w:val="00680AA9"/>
    <w:rsid w:val="0068124E"/>
    <w:rsid w:val="00682136"/>
    <w:rsid w:val="00682BEF"/>
    <w:rsid w:val="006832E1"/>
    <w:rsid w:val="0068370A"/>
    <w:rsid w:val="00683E34"/>
    <w:rsid w:val="00684606"/>
    <w:rsid w:val="00684A39"/>
    <w:rsid w:val="006853E5"/>
    <w:rsid w:val="00686067"/>
    <w:rsid w:val="00686AE6"/>
    <w:rsid w:val="00690097"/>
    <w:rsid w:val="00691AEA"/>
    <w:rsid w:val="00693F10"/>
    <w:rsid w:val="006943A4"/>
    <w:rsid w:val="006953D8"/>
    <w:rsid w:val="0069559D"/>
    <w:rsid w:val="00695D5C"/>
    <w:rsid w:val="00696700"/>
    <w:rsid w:val="00696A91"/>
    <w:rsid w:val="00696CA7"/>
    <w:rsid w:val="00697CBF"/>
    <w:rsid w:val="00697D9E"/>
    <w:rsid w:val="006A0370"/>
    <w:rsid w:val="006A0AFE"/>
    <w:rsid w:val="006A0C94"/>
    <w:rsid w:val="006A13B2"/>
    <w:rsid w:val="006A1C41"/>
    <w:rsid w:val="006A22EA"/>
    <w:rsid w:val="006A2BC4"/>
    <w:rsid w:val="006A4298"/>
    <w:rsid w:val="006A51D4"/>
    <w:rsid w:val="006A548E"/>
    <w:rsid w:val="006A5702"/>
    <w:rsid w:val="006A7EB9"/>
    <w:rsid w:val="006B080E"/>
    <w:rsid w:val="006B2383"/>
    <w:rsid w:val="006B3680"/>
    <w:rsid w:val="006B463B"/>
    <w:rsid w:val="006B4C5A"/>
    <w:rsid w:val="006B5301"/>
    <w:rsid w:val="006B5AFC"/>
    <w:rsid w:val="006B7261"/>
    <w:rsid w:val="006B7D23"/>
    <w:rsid w:val="006C05C6"/>
    <w:rsid w:val="006C06EA"/>
    <w:rsid w:val="006C0E05"/>
    <w:rsid w:val="006C0E31"/>
    <w:rsid w:val="006C20A7"/>
    <w:rsid w:val="006C231D"/>
    <w:rsid w:val="006C2F47"/>
    <w:rsid w:val="006C4A90"/>
    <w:rsid w:val="006C64D3"/>
    <w:rsid w:val="006D0045"/>
    <w:rsid w:val="006D023B"/>
    <w:rsid w:val="006D0505"/>
    <w:rsid w:val="006D1170"/>
    <w:rsid w:val="006D2EB7"/>
    <w:rsid w:val="006D325A"/>
    <w:rsid w:val="006D4754"/>
    <w:rsid w:val="006D51EE"/>
    <w:rsid w:val="006D5A67"/>
    <w:rsid w:val="006D5C08"/>
    <w:rsid w:val="006D61C1"/>
    <w:rsid w:val="006E1860"/>
    <w:rsid w:val="006E2C3D"/>
    <w:rsid w:val="006E2CD9"/>
    <w:rsid w:val="006E365A"/>
    <w:rsid w:val="006E3859"/>
    <w:rsid w:val="006E4663"/>
    <w:rsid w:val="006E524C"/>
    <w:rsid w:val="006F04D4"/>
    <w:rsid w:val="006F10D9"/>
    <w:rsid w:val="006F281C"/>
    <w:rsid w:val="006F2AEC"/>
    <w:rsid w:val="006F2CB0"/>
    <w:rsid w:val="006F38AC"/>
    <w:rsid w:val="00701AE0"/>
    <w:rsid w:val="00702714"/>
    <w:rsid w:val="00703344"/>
    <w:rsid w:val="00703F52"/>
    <w:rsid w:val="00704149"/>
    <w:rsid w:val="007069F3"/>
    <w:rsid w:val="00706C65"/>
    <w:rsid w:val="00707C41"/>
    <w:rsid w:val="00710A83"/>
    <w:rsid w:val="00711814"/>
    <w:rsid w:val="0071212C"/>
    <w:rsid w:val="00713305"/>
    <w:rsid w:val="007133A5"/>
    <w:rsid w:val="00713571"/>
    <w:rsid w:val="007168B6"/>
    <w:rsid w:val="007179D0"/>
    <w:rsid w:val="0072045B"/>
    <w:rsid w:val="007204A5"/>
    <w:rsid w:val="007211A3"/>
    <w:rsid w:val="00721C74"/>
    <w:rsid w:val="00721E0B"/>
    <w:rsid w:val="0072255B"/>
    <w:rsid w:val="0072279C"/>
    <w:rsid w:val="00723F4B"/>
    <w:rsid w:val="007251C2"/>
    <w:rsid w:val="00727414"/>
    <w:rsid w:val="00732480"/>
    <w:rsid w:val="00732BA8"/>
    <w:rsid w:val="00732D3B"/>
    <w:rsid w:val="00733943"/>
    <w:rsid w:val="00733B64"/>
    <w:rsid w:val="007357AF"/>
    <w:rsid w:val="00735BE4"/>
    <w:rsid w:val="007365A2"/>
    <w:rsid w:val="0073675E"/>
    <w:rsid w:val="0073755E"/>
    <w:rsid w:val="00737763"/>
    <w:rsid w:val="007407C4"/>
    <w:rsid w:val="0074143F"/>
    <w:rsid w:val="0074199C"/>
    <w:rsid w:val="00741A91"/>
    <w:rsid w:val="00743F16"/>
    <w:rsid w:val="0074466D"/>
    <w:rsid w:val="00744CEA"/>
    <w:rsid w:val="00745FB8"/>
    <w:rsid w:val="00747B72"/>
    <w:rsid w:val="00750134"/>
    <w:rsid w:val="007502F9"/>
    <w:rsid w:val="0075088B"/>
    <w:rsid w:val="00752149"/>
    <w:rsid w:val="00752661"/>
    <w:rsid w:val="00753B89"/>
    <w:rsid w:val="0075450F"/>
    <w:rsid w:val="00755A70"/>
    <w:rsid w:val="00755B17"/>
    <w:rsid w:val="00755D2B"/>
    <w:rsid w:val="00756AD7"/>
    <w:rsid w:val="00757CC8"/>
    <w:rsid w:val="00761F50"/>
    <w:rsid w:val="0076387C"/>
    <w:rsid w:val="007645F0"/>
    <w:rsid w:val="00764C62"/>
    <w:rsid w:val="00764F77"/>
    <w:rsid w:val="00765022"/>
    <w:rsid w:val="00766832"/>
    <w:rsid w:val="0076749F"/>
    <w:rsid w:val="007733D1"/>
    <w:rsid w:val="0077423A"/>
    <w:rsid w:val="0077431C"/>
    <w:rsid w:val="0077432E"/>
    <w:rsid w:val="00774609"/>
    <w:rsid w:val="0077523A"/>
    <w:rsid w:val="007766B8"/>
    <w:rsid w:val="0077699D"/>
    <w:rsid w:val="0077746E"/>
    <w:rsid w:val="007812CB"/>
    <w:rsid w:val="00781FD1"/>
    <w:rsid w:val="00783F9B"/>
    <w:rsid w:val="00784A65"/>
    <w:rsid w:val="007866A3"/>
    <w:rsid w:val="00786B8E"/>
    <w:rsid w:val="007900EC"/>
    <w:rsid w:val="0079014E"/>
    <w:rsid w:val="0079104B"/>
    <w:rsid w:val="007919D0"/>
    <w:rsid w:val="00791AD5"/>
    <w:rsid w:val="00792A8F"/>
    <w:rsid w:val="00792FB6"/>
    <w:rsid w:val="007937AE"/>
    <w:rsid w:val="00793CC7"/>
    <w:rsid w:val="00795957"/>
    <w:rsid w:val="00796FE9"/>
    <w:rsid w:val="007970DA"/>
    <w:rsid w:val="007A03AD"/>
    <w:rsid w:val="007A15D0"/>
    <w:rsid w:val="007A1C96"/>
    <w:rsid w:val="007A2AD2"/>
    <w:rsid w:val="007A33FA"/>
    <w:rsid w:val="007A426A"/>
    <w:rsid w:val="007A465B"/>
    <w:rsid w:val="007A49A7"/>
    <w:rsid w:val="007A5056"/>
    <w:rsid w:val="007A5BCB"/>
    <w:rsid w:val="007B06B8"/>
    <w:rsid w:val="007B0CAA"/>
    <w:rsid w:val="007B3918"/>
    <w:rsid w:val="007B3B06"/>
    <w:rsid w:val="007B518B"/>
    <w:rsid w:val="007B6257"/>
    <w:rsid w:val="007C097F"/>
    <w:rsid w:val="007C14F7"/>
    <w:rsid w:val="007C1770"/>
    <w:rsid w:val="007C29E9"/>
    <w:rsid w:val="007C34FC"/>
    <w:rsid w:val="007C3DB7"/>
    <w:rsid w:val="007C55EE"/>
    <w:rsid w:val="007C5DDD"/>
    <w:rsid w:val="007C61E1"/>
    <w:rsid w:val="007C6517"/>
    <w:rsid w:val="007C6D1C"/>
    <w:rsid w:val="007C75DB"/>
    <w:rsid w:val="007D143B"/>
    <w:rsid w:val="007D1D84"/>
    <w:rsid w:val="007D2A66"/>
    <w:rsid w:val="007D4AB8"/>
    <w:rsid w:val="007D5EB6"/>
    <w:rsid w:val="007D636D"/>
    <w:rsid w:val="007D709F"/>
    <w:rsid w:val="007E0409"/>
    <w:rsid w:val="007E130C"/>
    <w:rsid w:val="007E15D4"/>
    <w:rsid w:val="007E1702"/>
    <w:rsid w:val="007E184C"/>
    <w:rsid w:val="007E212C"/>
    <w:rsid w:val="007E48B7"/>
    <w:rsid w:val="007E4DDA"/>
    <w:rsid w:val="007E6E96"/>
    <w:rsid w:val="007E7D40"/>
    <w:rsid w:val="007F1307"/>
    <w:rsid w:val="007F26FF"/>
    <w:rsid w:val="007F39C2"/>
    <w:rsid w:val="007F448A"/>
    <w:rsid w:val="007F4EA2"/>
    <w:rsid w:val="007F5A30"/>
    <w:rsid w:val="007F6377"/>
    <w:rsid w:val="007F7B28"/>
    <w:rsid w:val="008016F8"/>
    <w:rsid w:val="00801899"/>
    <w:rsid w:val="0080304B"/>
    <w:rsid w:val="008044D4"/>
    <w:rsid w:val="008047CE"/>
    <w:rsid w:val="00804C53"/>
    <w:rsid w:val="00806ED8"/>
    <w:rsid w:val="00810902"/>
    <w:rsid w:val="00811B5E"/>
    <w:rsid w:val="00811BD9"/>
    <w:rsid w:val="00811D91"/>
    <w:rsid w:val="00812042"/>
    <w:rsid w:val="0081230E"/>
    <w:rsid w:val="008155F9"/>
    <w:rsid w:val="008159EB"/>
    <w:rsid w:val="00817FE3"/>
    <w:rsid w:val="00820FD2"/>
    <w:rsid w:val="00822FE5"/>
    <w:rsid w:val="00823B3B"/>
    <w:rsid w:val="00824152"/>
    <w:rsid w:val="00824B6D"/>
    <w:rsid w:val="008251E6"/>
    <w:rsid w:val="00830431"/>
    <w:rsid w:val="008306AE"/>
    <w:rsid w:val="0083152F"/>
    <w:rsid w:val="008318C4"/>
    <w:rsid w:val="00832951"/>
    <w:rsid w:val="00833592"/>
    <w:rsid w:val="00834427"/>
    <w:rsid w:val="00834666"/>
    <w:rsid w:val="008346E2"/>
    <w:rsid w:val="008350C0"/>
    <w:rsid w:val="00836996"/>
    <w:rsid w:val="00837275"/>
    <w:rsid w:val="00840205"/>
    <w:rsid w:val="008406B2"/>
    <w:rsid w:val="00840F72"/>
    <w:rsid w:val="008412C2"/>
    <w:rsid w:val="008412D6"/>
    <w:rsid w:val="00841332"/>
    <w:rsid w:val="00841EC0"/>
    <w:rsid w:val="00842775"/>
    <w:rsid w:val="008442B7"/>
    <w:rsid w:val="0084499C"/>
    <w:rsid w:val="00844AF1"/>
    <w:rsid w:val="00845636"/>
    <w:rsid w:val="0085018C"/>
    <w:rsid w:val="008508EC"/>
    <w:rsid w:val="00850B1C"/>
    <w:rsid w:val="00850DDB"/>
    <w:rsid w:val="00850DF4"/>
    <w:rsid w:val="00852292"/>
    <w:rsid w:val="00852ABD"/>
    <w:rsid w:val="00852BC0"/>
    <w:rsid w:val="00853568"/>
    <w:rsid w:val="00855012"/>
    <w:rsid w:val="00855302"/>
    <w:rsid w:val="00860373"/>
    <w:rsid w:val="008610CE"/>
    <w:rsid w:val="008669E8"/>
    <w:rsid w:val="00866C7B"/>
    <w:rsid w:val="008708ED"/>
    <w:rsid w:val="00870C74"/>
    <w:rsid w:val="0087189A"/>
    <w:rsid w:val="00872601"/>
    <w:rsid w:val="0087411E"/>
    <w:rsid w:val="008750DB"/>
    <w:rsid w:val="00875271"/>
    <w:rsid w:val="008755C8"/>
    <w:rsid w:val="008755CA"/>
    <w:rsid w:val="00882452"/>
    <w:rsid w:val="0088361C"/>
    <w:rsid w:val="0088389A"/>
    <w:rsid w:val="00885AD4"/>
    <w:rsid w:val="00886DBB"/>
    <w:rsid w:val="008905F0"/>
    <w:rsid w:val="008906E6"/>
    <w:rsid w:val="00890D52"/>
    <w:rsid w:val="00890F77"/>
    <w:rsid w:val="00890F8B"/>
    <w:rsid w:val="008915C9"/>
    <w:rsid w:val="0089318F"/>
    <w:rsid w:val="0089628E"/>
    <w:rsid w:val="008975D2"/>
    <w:rsid w:val="008977A0"/>
    <w:rsid w:val="008A0272"/>
    <w:rsid w:val="008A0B50"/>
    <w:rsid w:val="008A0BC1"/>
    <w:rsid w:val="008A20C1"/>
    <w:rsid w:val="008A287C"/>
    <w:rsid w:val="008A4072"/>
    <w:rsid w:val="008A41C3"/>
    <w:rsid w:val="008A52CE"/>
    <w:rsid w:val="008A560A"/>
    <w:rsid w:val="008A6756"/>
    <w:rsid w:val="008A74B5"/>
    <w:rsid w:val="008B3B3F"/>
    <w:rsid w:val="008B3D39"/>
    <w:rsid w:val="008B4AA9"/>
    <w:rsid w:val="008B4E91"/>
    <w:rsid w:val="008B4FCE"/>
    <w:rsid w:val="008B60B9"/>
    <w:rsid w:val="008B6129"/>
    <w:rsid w:val="008B64CC"/>
    <w:rsid w:val="008C28D2"/>
    <w:rsid w:val="008C2F50"/>
    <w:rsid w:val="008C3A23"/>
    <w:rsid w:val="008C3B02"/>
    <w:rsid w:val="008C3C1B"/>
    <w:rsid w:val="008C59BF"/>
    <w:rsid w:val="008C60EF"/>
    <w:rsid w:val="008C6C19"/>
    <w:rsid w:val="008C6CAE"/>
    <w:rsid w:val="008C7316"/>
    <w:rsid w:val="008C7D3E"/>
    <w:rsid w:val="008D0EAA"/>
    <w:rsid w:val="008D0F3E"/>
    <w:rsid w:val="008D16FD"/>
    <w:rsid w:val="008D1CAE"/>
    <w:rsid w:val="008D1F83"/>
    <w:rsid w:val="008D221C"/>
    <w:rsid w:val="008D4112"/>
    <w:rsid w:val="008D71D0"/>
    <w:rsid w:val="008E0282"/>
    <w:rsid w:val="008E0D61"/>
    <w:rsid w:val="008E2915"/>
    <w:rsid w:val="008E412B"/>
    <w:rsid w:val="008E433B"/>
    <w:rsid w:val="008E4C2F"/>
    <w:rsid w:val="008E57A9"/>
    <w:rsid w:val="008E6D76"/>
    <w:rsid w:val="008E6FD6"/>
    <w:rsid w:val="008F0197"/>
    <w:rsid w:val="008F0617"/>
    <w:rsid w:val="008F299F"/>
    <w:rsid w:val="008F353B"/>
    <w:rsid w:val="008F4E6D"/>
    <w:rsid w:val="008F605B"/>
    <w:rsid w:val="008F6DAF"/>
    <w:rsid w:val="008F74C6"/>
    <w:rsid w:val="008F78C7"/>
    <w:rsid w:val="0090210B"/>
    <w:rsid w:val="0090497E"/>
    <w:rsid w:val="00907FA7"/>
    <w:rsid w:val="009102C0"/>
    <w:rsid w:val="0091041C"/>
    <w:rsid w:val="00912349"/>
    <w:rsid w:val="00912793"/>
    <w:rsid w:val="00914528"/>
    <w:rsid w:val="00916D24"/>
    <w:rsid w:val="009204BD"/>
    <w:rsid w:val="00920C1F"/>
    <w:rsid w:val="00922BC5"/>
    <w:rsid w:val="00922C60"/>
    <w:rsid w:val="00922E2C"/>
    <w:rsid w:val="009234FD"/>
    <w:rsid w:val="00923E5A"/>
    <w:rsid w:val="00924CB5"/>
    <w:rsid w:val="00925227"/>
    <w:rsid w:val="009255E6"/>
    <w:rsid w:val="00927A89"/>
    <w:rsid w:val="00934005"/>
    <w:rsid w:val="0093495D"/>
    <w:rsid w:val="009360B3"/>
    <w:rsid w:val="00937511"/>
    <w:rsid w:val="009415AF"/>
    <w:rsid w:val="00943076"/>
    <w:rsid w:val="00944946"/>
    <w:rsid w:val="00944E54"/>
    <w:rsid w:val="00945B65"/>
    <w:rsid w:val="00946A1B"/>
    <w:rsid w:val="00947F6C"/>
    <w:rsid w:val="00950857"/>
    <w:rsid w:val="00950DC6"/>
    <w:rsid w:val="00951ABA"/>
    <w:rsid w:val="00953AF8"/>
    <w:rsid w:val="009549A2"/>
    <w:rsid w:val="00954D82"/>
    <w:rsid w:val="00954F46"/>
    <w:rsid w:val="00955062"/>
    <w:rsid w:val="00956422"/>
    <w:rsid w:val="00957245"/>
    <w:rsid w:val="00957A7D"/>
    <w:rsid w:val="00957DC1"/>
    <w:rsid w:val="0096023B"/>
    <w:rsid w:val="00961391"/>
    <w:rsid w:val="0096158C"/>
    <w:rsid w:val="009615B2"/>
    <w:rsid w:val="00962966"/>
    <w:rsid w:val="009631A3"/>
    <w:rsid w:val="00964F08"/>
    <w:rsid w:val="00964F89"/>
    <w:rsid w:val="009656CA"/>
    <w:rsid w:val="00965BEB"/>
    <w:rsid w:val="009668FC"/>
    <w:rsid w:val="00967794"/>
    <w:rsid w:val="00967AB5"/>
    <w:rsid w:val="00967C1D"/>
    <w:rsid w:val="00967E7D"/>
    <w:rsid w:val="009701A9"/>
    <w:rsid w:val="00970229"/>
    <w:rsid w:val="009703E8"/>
    <w:rsid w:val="00970A3B"/>
    <w:rsid w:val="00970FE8"/>
    <w:rsid w:val="00971D5C"/>
    <w:rsid w:val="00972629"/>
    <w:rsid w:val="00973629"/>
    <w:rsid w:val="00973887"/>
    <w:rsid w:val="00974C2C"/>
    <w:rsid w:val="00974CEF"/>
    <w:rsid w:val="00976F33"/>
    <w:rsid w:val="00977270"/>
    <w:rsid w:val="00980305"/>
    <w:rsid w:val="00980F85"/>
    <w:rsid w:val="0098226D"/>
    <w:rsid w:val="00984C43"/>
    <w:rsid w:val="00985626"/>
    <w:rsid w:val="009861A1"/>
    <w:rsid w:val="00986E67"/>
    <w:rsid w:val="00986F03"/>
    <w:rsid w:val="009874F1"/>
    <w:rsid w:val="009908A1"/>
    <w:rsid w:val="00990D5F"/>
    <w:rsid w:val="00993065"/>
    <w:rsid w:val="009939DD"/>
    <w:rsid w:val="00994266"/>
    <w:rsid w:val="0099758F"/>
    <w:rsid w:val="009A0FDA"/>
    <w:rsid w:val="009A2755"/>
    <w:rsid w:val="009A3691"/>
    <w:rsid w:val="009A3A21"/>
    <w:rsid w:val="009A49E6"/>
    <w:rsid w:val="009A53BC"/>
    <w:rsid w:val="009A5F97"/>
    <w:rsid w:val="009A6837"/>
    <w:rsid w:val="009A7CE3"/>
    <w:rsid w:val="009B0D0E"/>
    <w:rsid w:val="009B0F67"/>
    <w:rsid w:val="009B38D7"/>
    <w:rsid w:val="009B46E9"/>
    <w:rsid w:val="009B518F"/>
    <w:rsid w:val="009B52CE"/>
    <w:rsid w:val="009B554E"/>
    <w:rsid w:val="009B576F"/>
    <w:rsid w:val="009B5894"/>
    <w:rsid w:val="009B61EB"/>
    <w:rsid w:val="009B65B9"/>
    <w:rsid w:val="009C0FE3"/>
    <w:rsid w:val="009C13CC"/>
    <w:rsid w:val="009C3716"/>
    <w:rsid w:val="009C587C"/>
    <w:rsid w:val="009C62E5"/>
    <w:rsid w:val="009C76A4"/>
    <w:rsid w:val="009D03ED"/>
    <w:rsid w:val="009D06AB"/>
    <w:rsid w:val="009D11F1"/>
    <w:rsid w:val="009D1366"/>
    <w:rsid w:val="009D2520"/>
    <w:rsid w:val="009D37B8"/>
    <w:rsid w:val="009D3F55"/>
    <w:rsid w:val="009D587B"/>
    <w:rsid w:val="009D5C11"/>
    <w:rsid w:val="009D6FA6"/>
    <w:rsid w:val="009D6FB5"/>
    <w:rsid w:val="009D71B7"/>
    <w:rsid w:val="009D7D5A"/>
    <w:rsid w:val="009E072F"/>
    <w:rsid w:val="009E07E3"/>
    <w:rsid w:val="009E2007"/>
    <w:rsid w:val="009E3756"/>
    <w:rsid w:val="009E479E"/>
    <w:rsid w:val="009E5F59"/>
    <w:rsid w:val="009E60B9"/>
    <w:rsid w:val="009F064F"/>
    <w:rsid w:val="009F1D19"/>
    <w:rsid w:val="009F327C"/>
    <w:rsid w:val="009F3CD1"/>
    <w:rsid w:val="009F3F49"/>
    <w:rsid w:val="009F459D"/>
    <w:rsid w:val="009F51B5"/>
    <w:rsid w:val="00A0000A"/>
    <w:rsid w:val="00A0001A"/>
    <w:rsid w:val="00A00E82"/>
    <w:rsid w:val="00A0149C"/>
    <w:rsid w:val="00A025F9"/>
    <w:rsid w:val="00A02C42"/>
    <w:rsid w:val="00A02C63"/>
    <w:rsid w:val="00A03580"/>
    <w:rsid w:val="00A03EFB"/>
    <w:rsid w:val="00A06010"/>
    <w:rsid w:val="00A105B4"/>
    <w:rsid w:val="00A10944"/>
    <w:rsid w:val="00A1272B"/>
    <w:rsid w:val="00A128B5"/>
    <w:rsid w:val="00A12FD2"/>
    <w:rsid w:val="00A1322E"/>
    <w:rsid w:val="00A13BAB"/>
    <w:rsid w:val="00A13D88"/>
    <w:rsid w:val="00A140D0"/>
    <w:rsid w:val="00A1428F"/>
    <w:rsid w:val="00A14CFA"/>
    <w:rsid w:val="00A150C2"/>
    <w:rsid w:val="00A15519"/>
    <w:rsid w:val="00A15F16"/>
    <w:rsid w:val="00A164C0"/>
    <w:rsid w:val="00A17029"/>
    <w:rsid w:val="00A172EE"/>
    <w:rsid w:val="00A202E1"/>
    <w:rsid w:val="00A21B21"/>
    <w:rsid w:val="00A23236"/>
    <w:rsid w:val="00A237B5"/>
    <w:rsid w:val="00A24010"/>
    <w:rsid w:val="00A240EC"/>
    <w:rsid w:val="00A24716"/>
    <w:rsid w:val="00A25BE7"/>
    <w:rsid w:val="00A2650B"/>
    <w:rsid w:val="00A26886"/>
    <w:rsid w:val="00A2730E"/>
    <w:rsid w:val="00A302DD"/>
    <w:rsid w:val="00A30409"/>
    <w:rsid w:val="00A3156B"/>
    <w:rsid w:val="00A32C22"/>
    <w:rsid w:val="00A33168"/>
    <w:rsid w:val="00A34675"/>
    <w:rsid w:val="00A347C4"/>
    <w:rsid w:val="00A35D5F"/>
    <w:rsid w:val="00A35FF5"/>
    <w:rsid w:val="00A368AA"/>
    <w:rsid w:val="00A372F4"/>
    <w:rsid w:val="00A42505"/>
    <w:rsid w:val="00A4275B"/>
    <w:rsid w:val="00A43E5B"/>
    <w:rsid w:val="00A44FFE"/>
    <w:rsid w:val="00A464DE"/>
    <w:rsid w:val="00A46979"/>
    <w:rsid w:val="00A46A5D"/>
    <w:rsid w:val="00A507D9"/>
    <w:rsid w:val="00A50C29"/>
    <w:rsid w:val="00A53E79"/>
    <w:rsid w:val="00A54D48"/>
    <w:rsid w:val="00A54DAF"/>
    <w:rsid w:val="00A55037"/>
    <w:rsid w:val="00A5572F"/>
    <w:rsid w:val="00A5737B"/>
    <w:rsid w:val="00A57498"/>
    <w:rsid w:val="00A57993"/>
    <w:rsid w:val="00A57A95"/>
    <w:rsid w:val="00A60095"/>
    <w:rsid w:val="00A6013E"/>
    <w:rsid w:val="00A61BB0"/>
    <w:rsid w:val="00A61E94"/>
    <w:rsid w:val="00A6242C"/>
    <w:rsid w:val="00A62CB1"/>
    <w:rsid w:val="00A62F09"/>
    <w:rsid w:val="00A63386"/>
    <w:rsid w:val="00A70F85"/>
    <w:rsid w:val="00A711FF"/>
    <w:rsid w:val="00A71E64"/>
    <w:rsid w:val="00A73795"/>
    <w:rsid w:val="00A73B34"/>
    <w:rsid w:val="00A74397"/>
    <w:rsid w:val="00A74A0D"/>
    <w:rsid w:val="00A74E36"/>
    <w:rsid w:val="00A752B0"/>
    <w:rsid w:val="00A763E9"/>
    <w:rsid w:val="00A7779C"/>
    <w:rsid w:val="00A779D0"/>
    <w:rsid w:val="00A77D52"/>
    <w:rsid w:val="00A80A17"/>
    <w:rsid w:val="00A80DBE"/>
    <w:rsid w:val="00A81DC3"/>
    <w:rsid w:val="00A822EE"/>
    <w:rsid w:val="00A83693"/>
    <w:rsid w:val="00A8497C"/>
    <w:rsid w:val="00A863A9"/>
    <w:rsid w:val="00A8649B"/>
    <w:rsid w:val="00A86762"/>
    <w:rsid w:val="00A90125"/>
    <w:rsid w:val="00A902D2"/>
    <w:rsid w:val="00A905FC"/>
    <w:rsid w:val="00A91E1B"/>
    <w:rsid w:val="00A92490"/>
    <w:rsid w:val="00A93BF8"/>
    <w:rsid w:val="00A94D39"/>
    <w:rsid w:val="00A95399"/>
    <w:rsid w:val="00A96464"/>
    <w:rsid w:val="00A97B05"/>
    <w:rsid w:val="00AA08FD"/>
    <w:rsid w:val="00AA11EA"/>
    <w:rsid w:val="00AA1D45"/>
    <w:rsid w:val="00AA3479"/>
    <w:rsid w:val="00AA3638"/>
    <w:rsid w:val="00AA4363"/>
    <w:rsid w:val="00AA54A4"/>
    <w:rsid w:val="00AA6AA1"/>
    <w:rsid w:val="00AA763D"/>
    <w:rsid w:val="00AB0426"/>
    <w:rsid w:val="00AB0AD5"/>
    <w:rsid w:val="00AB1C34"/>
    <w:rsid w:val="00AB3AE9"/>
    <w:rsid w:val="00AB44CA"/>
    <w:rsid w:val="00AB4F10"/>
    <w:rsid w:val="00AB7A94"/>
    <w:rsid w:val="00AC0344"/>
    <w:rsid w:val="00AC303E"/>
    <w:rsid w:val="00AC4144"/>
    <w:rsid w:val="00AC5544"/>
    <w:rsid w:val="00AC7365"/>
    <w:rsid w:val="00AD06C6"/>
    <w:rsid w:val="00AD1C5D"/>
    <w:rsid w:val="00AD274E"/>
    <w:rsid w:val="00AD2808"/>
    <w:rsid w:val="00AD2CBF"/>
    <w:rsid w:val="00AD3A89"/>
    <w:rsid w:val="00AD3E0D"/>
    <w:rsid w:val="00AD41B2"/>
    <w:rsid w:val="00AD5216"/>
    <w:rsid w:val="00AD5F4C"/>
    <w:rsid w:val="00AE0888"/>
    <w:rsid w:val="00AE21E7"/>
    <w:rsid w:val="00AE3AB0"/>
    <w:rsid w:val="00AE4DBA"/>
    <w:rsid w:val="00AE5D33"/>
    <w:rsid w:val="00AF06D3"/>
    <w:rsid w:val="00AF09E7"/>
    <w:rsid w:val="00AF1ACA"/>
    <w:rsid w:val="00AF20F9"/>
    <w:rsid w:val="00AF239B"/>
    <w:rsid w:val="00AF2876"/>
    <w:rsid w:val="00AF3185"/>
    <w:rsid w:val="00AF32BE"/>
    <w:rsid w:val="00AF3439"/>
    <w:rsid w:val="00AF3ACD"/>
    <w:rsid w:val="00AF3C8A"/>
    <w:rsid w:val="00AF3F19"/>
    <w:rsid w:val="00AF43E5"/>
    <w:rsid w:val="00AF4FE5"/>
    <w:rsid w:val="00AF7107"/>
    <w:rsid w:val="00AF7D5A"/>
    <w:rsid w:val="00B00078"/>
    <w:rsid w:val="00B001D0"/>
    <w:rsid w:val="00B0128F"/>
    <w:rsid w:val="00B01708"/>
    <w:rsid w:val="00B01ED9"/>
    <w:rsid w:val="00B0349D"/>
    <w:rsid w:val="00B036D7"/>
    <w:rsid w:val="00B03B8F"/>
    <w:rsid w:val="00B03FD6"/>
    <w:rsid w:val="00B04593"/>
    <w:rsid w:val="00B053EC"/>
    <w:rsid w:val="00B059B8"/>
    <w:rsid w:val="00B0675E"/>
    <w:rsid w:val="00B06FE2"/>
    <w:rsid w:val="00B07539"/>
    <w:rsid w:val="00B07B82"/>
    <w:rsid w:val="00B10BA4"/>
    <w:rsid w:val="00B10F85"/>
    <w:rsid w:val="00B112D5"/>
    <w:rsid w:val="00B114A8"/>
    <w:rsid w:val="00B11888"/>
    <w:rsid w:val="00B12A24"/>
    <w:rsid w:val="00B12DE7"/>
    <w:rsid w:val="00B137ED"/>
    <w:rsid w:val="00B14025"/>
    <w:rsid w:val="00B147D8"/>
    <w:rsid w:val="00B156EE"/>
    <w:rsid w:val="00B15EAB"/>
    <w:rsid w:val="00B2144F"/>
    <w:rsid w:val="00B21475"/>
    <w:rsid w:val="00B21EB2"/>
    <w:rsid w:val="00B220D9"/>
    <w:rsid w:val="00B22251"/>
    <w:rsid w:val="00B2232F"/>
    <w:rsid w:val="00B22987"/>
    <w:rsid w:val="00B22CE5"/>
    <w:rsid w:val="00B244A6"/>
    <w:rsid w:val="00B253A9"/>
    <w:rsid w:val="00B259F7"/>
    <w:rsid w:val="00B26B13"/>
    <w:rsid w:val="00B306AA"/>
    <w:rsid w:val="00B308AA"/>
    <w:rsid w:val="00B30E91"/>
    <w:rsid w:val="00B33244"/>
    <w:rsid w:val="00B33639"/>
    <w:rsid w:val="00B3385F"/>
    <w:rsid w:val="00B34E34"/>
    <w:rsid w:val="00B35A27"/>
    <w:rsid w:val="00B35D95"/>
    <w:rsid w:val="00B35E2D"/>
    <w:rsid w:val="00B36290"/>
    <w:rsid w:val="00B40D30"/>
    <w:rsid w:val="00B40EDF"/>
    <w:rsid w:val="00B41FD3"/>
    <w:rsid w:val="00B423F0"/>
    <w:rsid w:val="00B42877"/>
    <w:rsid w:val="00B44AFA"/>
    <w:rsid w:val="00B45322"/>
    <w:rsid w:val="00B50C78"/>
    <w:rsid w:val="00B5138F"/>
    <w:rsid w:val="00B518E4"/>
    <w:rsid w:val="00B53282"/>
    <w:rsid w:val="00B532AA"/>
    <w:rsid w:val="00B569B4"/>
    <w:rsid w:val="00B57385"/>
    <w:rsid w:val="00B6342B"/>
    <w:rsid w:val="00B63885"/>
    <w:rsid w:val="00B63A1F"/>
    <w:rsid w:val="00B63CB3"/>
    <w:rsid w:val="00B653C7"/>
    <w:rsid w:val="00B656C3"/>
    <w:rsid w:val="00B65C85"/>
    <w:rsid w:val="00B672EB"/>
    <w:rsid w:val="00B6739E"/>
    <w:rsid w:val="00B67CF6"/>
    <w:rsid w:val="00B71545"/>
    <w:rsid w:val="00B717BE"/>
    <w:rsid w:val="00B72209"/>
    <w:rsid w:val="00B73634"/>
    <w:rsid w:val="00B7363F"/>
    <w:rsid w:val="00B73874"/>
    <w:rsid w:val="00B73BC9"/>
    <w:rsid w:val="00B768B6"/>
    <w:rsid w:val="00B77F03"/>
    <w:rsid w:val="00B802AE"/>
    <w:rsid w:val="00B8074C"/>
    <w:rsid w:val="00B81C1A"/>
    <w:rsid w:val="00B83302"/>
    <w:rsid w:val="00B83B63"/>
    <w:rsid w:val="00B84BE9"/>
    <w:rsid w:val="00B85C3D"/>
    <w:rsid w:val="00B86B12"/>
    <w:rsid w:val="00B91CBD"/>
    <w:rsid w:val="00B91E78"/>
    <w:rsid w:val="00B924B0"/>
    <w:rsid w:val="00B926A6"/>
    <w:rsid w:val="00B92933"/>
    <w:rsid w:val="00B92C12"/>
    <w:rsid w:val="00B92EE8"/>
    <w:rsid w:val="00B944C4"/>
    <w:rsid w:val="00B963D1"/>
    <w:rsid w:val="00B967DA"/>
    <w:rsid w:val="00B96BCD"/>
    <w:rsid w:val="00B97313"/>
    <w:rsid w:val="00B97547"/>
    <w:rsid w:val="00BA0009"/>
    <w:rsid w:val="00BA1504"/>
    <w:rsid w:val="00BA2205"/>
    <w:rsid w:val="00BA35A8"/>
    <w:rsid w:val="00BA41AF"/>
    <w:rsid w:val="00BA4F0A"/>
    <w:rsid w:val="00BA4F13"/>
    <w:rsid w:val="00BA515C"/>
    <w:rsid w:val="00BA5CCE"/>
    <w:rsid w:val="00BA750F"/>
    <w:rsid w:val="00BA7D2B"/>
    <w:rsid w:val="00BB0A38"/>
    <w:rsid w:val="00BB184C"/>
    <w:rsid w:val="00BB192C"/>
    <w:rsid w:val="00BB1DB9"/>
    <w:rsid w:val="00BB21BD"/>
    <w:rsid w:val="00BB3409"/>
    <w:rsid w:val="00BB349E"/>
    <w:rsid w:val="00BB3874"/>
    <w:rsid w:val="00BB3C60"/>
    <w:rsid w:val="00BB4017"/>
    <w:rsid w:val="00BB58A2"/>
    <w:rsid w:val="00BB63E9"/>
    <w:rsid w:val="00BB6F77"/>
    <w:rsid w:val="00BB758E"/>
    <w:rsid w:val="00BC1B99"/>
    <w:rsid w:val="00BC407C"/>
    <w:rsid w:val="00BC4179"/>
    <w:rsid w:val="00BC476E"/>
    <w:rsid w:val="00BC5669"/>
    <w:rsid w:val="00BC5C32"/>
    <w:rsid w:val="00BC5FA8"/>
    <w:rsid w:val="00BC737C"/>
    <w:rsid w:val="00BD0099"/>
    <w:rsid w:val="00BD041C"/>
    <w:rsid w:val="00BD1423"/>
    <w:rsid w:val="00BD2449"/>
    <w:rsid w:val="00BD2F87"/>
    <w:rsid w:val="00BD2FD3"/>
    <w:rsid w:val="00BD3ABA"/>
    <w:rsid w:val="00BD46FC"/>
    <w:rsid w:val="00BD5762"/>
    <w:rsid w:val="00BD5D12"/>
    <w:rsid w:val="00BD7A0F"/>
    <w:rsid w:val="00BE05D1"/>
    <w:rsid w:val="00BE209D"/>
    <w:rsid w:val="00BE27B2"/>
    <w:rsid w:val="00BE476F"/>
    <w:rsid w:val="00BE51DB"/>
    <w:rsid w:val="00BE5578"/>
    <w:rsid w:val="00BE6705"/>
    <w:rsid w:val="00BE7522"/>
    <w:rsid w:val="00BE7DB5"/>
    <w:rsid w:val="00BF017F"/>
    <w:rsid w:val="00BF02D1"/>
    <w:rsid w:val="00BF127E"/>
    <w:rsid w:val="00BF194B"/>
    <w:rsid w:val="00BF21EC"/>
    <w:rsid w:val="00BF29A1"/>
    <w:rsid w:val="00BF5443"/>
    <w:rsid w:val="00BF6C09"/>
    <w:rsid w:val="00BF7842"/>
    <w:rsid w:val="00C023C9"/>
    <w:rsid w:val="00C024E0"/>
    <w:rsid w:val="00C03326"/>
    <w:rsid w:val="00C0645F"/>
    <w:rsid w:val="00C07EF0"/>
    <w:rsid w:val="00C110BD"/>
    <w:rsid w:val="00C1152B"/>
    <w:rsid w:val="00C11C0E"/>
    <w:rsid w:val="00C12ED8"/>
    <w:rsid w:val="00C134D4"/>
    <w:rsid w:val="00C1412E"/>
    <w:rsid w:val="00C147CE"/>
    <w:rsid w:val="00C148AD"/>
    <w:rsid w:val="00C14C03"/>
    <w:rsid w:val="00C14D07"/>
    <w:rsid w:val="00C15942"/>
    <w:rsid w:val="00C164F1"/>
    <w:rsid w:val="00C1782E"/>
    <w:rsid w:val="00C17973"/>
    <w:rsid w:val="00C202CC"/>
    <w:rsid w:val="00C209B8"/>
    <w:rsid w:val="00C20A97"/>
    <w:rsid w:val="00C21244"/>
    <w:rsid w:val="00C2259D"/>
    <w:rsid w:val="00C234FA"/>
    <w:rsid w:val="00C23A25"/>
    <w:rsid w:val="00C24829"/>
    <w:rsid w:val="00C27975"/>
    <w:rsid w:val="00C3007E"/>
    <w:rsid w:val="00C30E90"/>
    <w:rsid w:val="00C32811"/>
    <w:rsid w:val="00C35F9D"/>
    <w:rsid w:val="00C361D1"/>
    <w:rsid w:val="00C37A4A"/>
    <w:rsid w:val="00C41BBB"/>
    <w:rsid w:val="00C44433"/>
    <w:rsid w:val="00C450FF"/>
    <w:rsid w:val="00C4513C"/>
    <w:rsid w:val="00C4735F"/>
    <w:rsid w:val="00C50349"/>
    <w:rsid w:val="00C51077"/>
    <w:rsid w:val="00C510E2"/>
    <w:rsid w:val="00C512D8"/>
    <w:rsid w:val="00C52B1D"/>
    <w:rsid w:val="00C5313B"/>
    <w:rsid w:val="00C531D9"/>
    <w:rsid w:val="00C5416D"/>
    <w:rsid w:val="00C5600F"/>
    <w:rsid w:val="00C57D39"/>
    <w:rsid w:val="00C60B53"/>
    <w:rsid w:val="00C623F7"/>
    <w:rsid w:val="00C63236"/>
    <w:rsid w:val="00C64233"/>
    <w:rsid w:val="00C66FA5"/>
    <w:rsid w:val="00C67CF1"/>
    <w:rsid w:val="00C67F66"/>
    <w:rsid w:val="00C73FCE"/>
    <w:rsid w:val="00C75166"/>
    <w:rsid w:val="00C758EC"/>
    <w:rsid w:val="00C75DA9"/>
    <w:rsid w:val="00C76002"/>
    <w:rsid w:val="00C7720F"/>
    <w:rsid w:val="00C807F3"/>
    <w:rsid w:val="00C8152C"/>
    <w:rsid w:val="00C8489E"/>
    <w:rsid w:val="00C84AEF"/>
    <w:rsid w:val="00C90821"/>
    <w:rsid w:val="00C90C2D"/>
    <w:rsid w:val="00C91BA2"/>
    <w:rsid w:val="00C92833"/>
    <w:rsid w:val="00C94350"/>
    <w:rsid w:val="00CA0287"/>
    <w:rsid w:val="00CA0C33"/>
    <w:rsid w:val="00CA1932"/>
    <w:rsid w:val="00CA336E"/>
    <w:rsid w:val="00CA45A8"/>
    <w:rsid w:val="00CA47F6"/>
    <w:rsid w:val="00CA4F91"/>
    <w:rsid w:val="00CA6115"/>
    <w:rsid w:val="00CA62C6"/>
    <w:rsid w:val="00CB0BD3"/>
    <w:rsid w:val="00CB0C3F"/>
    <w:rsid w:val="00CB1E94"/>
    <w:rsid w:val="00CB32E1"/>
    <w:rsid w:val="00CB4258"/>
    <w:rsid w:val="00CB4CDA"/>
    <w:rsid w:val="00CB531F"/>
    <w:rsid w:val="00CB5B4A"/>
    <w:rsid w:val="00CB6111"/>
    <w:rsid w:val="00CB6351"/>
    <w:rsid w:val="00CB6A05"/>
    <w:rsid w:val="00CB6FC8"/>
    <w:rsid w:val="00CB6FD5"/>
    <w:rsid w:val="00CC12C4"/>
    <w:rsid w:val="00CC1B47"/>
    <w:rsid w:val="00CC1E45"/>
    <w:rsid w:val="00CC1E8E"/>
    <w:rsid w:val="00CC237B"/>
    <w:rsid w:val="00CC2759"/>
    <w:rsid w:val="00CC38FD"/>
    <w:rsid w:val="00CC3C2A"/>
    <w:rsid w:val="00CC587B"/>
    <w:rsid w:val="00CC6094"/>
    <w:rsid w:val="00CC7830"/>
    <w:rsid w:val="00CD019F"/>
    <w:rsid w:val="00CD10B5"/>
    <w:rsid w:val="00CD1672"/>
    <w:rsid w:val="00CD2365"/>
    <w:rsid w:val="00CD3300"/>
    <w:rsid w:val="00CD33BA"/>
    <w:rsid w:val="00CD5F09"/>
    <w:rsid w:val="00CD6AE7"/>
    <w:rsid w:val="00CD6B1E"/>
    <w:rsid w:val="00CD78A6"/>
    <w:rsid w:val="00CE069C"/>
    <w:rsid w:val="00CE366C"/>
    <w:rsid w:val="00CE4157"/>
    <w:rsid w:val="00CE5704"/>
    <w:rsid w:val="00CE5868"/>
    <w:rsid w:val="00CF0089"/>
    <w:rsid w:val="00CF1174"/>
    <w:rsid w:val="00CF1579"/>
    <w:rsid w:val="00CF1649"/>
    <w:rsid w:val="00CF3A32"/>
    <w:rsid w:val="00CF45E8"/>
    <w:rsid w:val="00CF45F3"/>
    <w:rsid w:val="00CF54D5"/>
    <w:rsid w:val="00D001BC"/>
    <w:rsid w:val="00D01AF5"/>
    <w:rsid w:val="00D024E4"/>
    <w:rsid w:val="00D02BAE"/>
    <w:rsid w:val="00D02DB5"/>
    <w:rsid w:val="00D042D0"/>
    <w:rsid w:val="00D04F2E"/>
    <w:rsid w:val="00D070AF"/>
    <w:rsid w:val="00D071F2"/>
    <w:rsid w:val="00D0754A"/>
    <w:rsid w:val="00D07732"/>
    <w:rsid w:val="00D07BA2"/>
    <w:rsid w:val="00D111D5"/>
    <w:rsid w:val="00D11D06"/>
    <w:rsid w:val="00D12EDC"/>
    <w:rsid w:val="00D13434"/>
    <w:rsid w:val="00D13A6C"/>
    <w:rsid w:val="00D15C05"/>
    <w:rsid w:val="00D20D77"/>
    <w:rsid w:val="00D211AA"/>
    <w:rsid w:val="00D213D0"/>
    <w:rsid w:val="00D23358"/>
    <w:rsid w:val="00D27053"/>
    <w:rsid w:val="00D277E9"/>
    <w:rsid w:val="00D27FF9"/>
    <w:rsid w:val="00D311C1"/>
    <w:rsid w:val="00D317D2"/>
    <w:rsid w:val="00D31910"/>
    <w:rsid w:val="00D31AEC"/>
    <w:rsid w:val="00D324F5"/>
    <w:rsid w:val="00D3371D"/>
    <w:rsid w:val="00D339EF"/>
    <w:rsid w:val="00D35E5C"/>
    <w:rsid w:val="00D3620F"/>
    <w:rsid w:val="00D409DD"/>
    <w:rsid w:val="00D42639"/>
    <w:rsid w:val="00D436E5"/>
    <w:rsid w:val="00D43C6F"/>
    <w:rsid w:val="00D44C17"/>
    <w:rsid w:val="00D4530E"/>
    <w:rsid w:val="00D45380"/>
    <w:rsid w:val="00D45C66"/>
    <w:rsid w:val="00D506AD"/>
    <w:rsid w:val="00D507C1"/>
    <w:rsid w:val="00D5082A"/>
    <w:rsid w:val="00D50AEE"/>
    <w:rsid w:val="00D51C7F"/>
    <w:rsid w:val="00D52F16"/>
    <w:rsid w:val="00D55991"/>
    <w:rsid w:val="00D55A04"/>
    <w:rsid w:val="00D60868"/>
    <w:rsid w:val="00D608A5"/>
    <w:rsid w:val="00D63AF4"/>
    <w:rsid w:val="00D64547"/>
    <w:rsid w:val="00D651BD"/>
    <w:rsid w:val="00D6539E"/>
    <w:rsid w:val="00D65746"/>
    <w:rsid w:val="00D71A85"/>
    <w:rsid w:val="00D71BE1"/>
    <w:rsid w:val="00D7201F"/>
    <w:rsid w:val="00D72986"/>
    <w:rsid w:val="00D744D4"/>
    <w:rsid w:val="00D74743"/>
    <w:rsid w:val="00D74A54"/>
    <w:rsid w:val="00D75823"/>
    <w:rsid w:val="00D75A49"/>
    <w:rsid w:val="00D75CAD"/>
    <w:rsid w:val="00D764A5"/>
    <w:rsid w:val="00D77D01"/>
    <w:rsid w:val="00D77DDC"/>
    <w:rsid w:val="00D80153"/>
    <w:rsid w:val="00D801AD"/>
    <w:rsid w:val="00D827E4"/>
    <w:rsid w:val="00D83122"/>
    <w:rsid w:val="00D835FD"/>
    <w:rsid w:val="00D84AE8"/>
    <w:rsid w:val="00D86002"/>
    <w:rsid w:val="00D867F5"/>
    <w:rsid w:val="00D87F7D"/>
    <w:rsid w:val="00D911AF"/>
    <w:rsid w:val="00D9173E"/>
    <w:rsid w:val="00D922D4"/>
    <w:rsid w:val="00D93912"/>
    <w:rsid w:val="00D93E9A"/>
    <w:rsid w:val="00D93F0C"/>
    <w:rsid w:val="00D954CD"/>
    <w:rsid w:val="00D95EFE"/>
    <w:rsid w:val="00D975EB"/>
    <w:rsid w:val="00D976F9"/>
    <w:rsid w:val="00DA4380"/>
    <w:rsid w:val="00DA5834"/>
    <w:rsid w:val="00DA697F"/>
    <w:rsid w:val="00DA6E1E"/>
    <w:rsid w:val="00DB0682"/>
    <w:rsid w:val="00DB18F4"/>
    <w:rsid w:val="00DB306D"/>
    <w:rsid w:val="00DB34F6"/>
    <w:rsid w:val="00DB39E4"/>
    <w:rsid w:val="00DB3E9C"/>
    <w:rsid w:val="00DB4198"/>
    <w:rsid w:val="00DB5BFA"/>
    <w:rsid w:val="00DB6BE7"/>
    <w:rsid w:val="00DB6E15"/>
    <w:rsid w:val="00DB6FA9"/>
    <w:rsid w:val="00DB7DC3"/>
    <w:rsid w:val="00DC09D8"/>
    <w:rsid w:val="00DC1177"/>
    <w:rsid w:val="00DC2106"/>
    <w:rsid w:val="00DC32E4"/>
    <w:rsid w:val="00DC3927"/>
    <w:rsid w:val="00DC3990"/>
    <w:rsid w:val="00DC4A0E"/>
    <w:rsid w:val="00DC4B86"/>
    <w:rsid w:val="00DC4D44"/>
    <w:rsid w:val="00DC5F8A"/>
    <w:rsid w:val="00DC74CA"/>
    <w:rsid w:val="00DC7F94"/>
    <w:rsid w:val="00DD019C"/>
    <w:rsid w:val="00DD02A6"/>
    <w:rsid w:val="00DD1C87"/>
    <w:rsid w:val="00DD28E9"/>
    <w:rsid w:val="00DD3FCE"/>
    <w:rsid w:val="00DD4135"/>
    <w:rsid w:val="00DD4A60"/>
    <w:rsid w:val="00DD615D"/>
    <w:rsid w:val="00DD6B8A"/>
    <w:rsid w:val="00DD7AC5"/>
    <w:rsid w:val="00DE00E8"/>
    <w:rsid w:val="00DE191E"/>
    <w:rsid w:val="00DE1931"/>
    <w:rsid w:val="00DE43D9"/>
    <w:rsid w:val="00DE5DC2"/>
    <w:rsid w:val="00DE6692"/>
    <w:rsid w:val="00DE675A"/>
    <w:rsid w:val="00DE7A0D"/>
    <w:rsid w:val="00DF175B"/>
    <w:rsid w:val="00DF19B1"/>
    <w:rsid w:val="00DF1B80"/>
    <w:rsid w:val="00DF216C"/>
    <w:rsid w:val="00DF37CB"/>
    <w:rsid w:val="00DF42E8"/>
    <w:rsid w:val="00DF7679"/>
    <w:rsid w:val="00E004CC"/>
    <w:rsid w:val="00E00533"/>
    <w:rsid w:val="00E00598"/>
    <w:rsid w:val="00E0225B"/>
    <w:rsid w:val="00E0262F"/>
    <w:rsid w:val="00E0272D"/>
    <w:rsid w:val="00E02FD6"/>
    <w:rsid w:val="00E03604"/>
    <w:rsid w:val="00E04A7D"/>
    <w:rsid w:val="00E052DA"/>
    <w:rsid w:val="00E073D6"/>
    <w:rsid w:val="00E1174E"/>
    <w:rsid w:val="00E12825"/>
    <w:rsid w:val="00E12EC5"/>
    <w:rsid w:val="00E13834"/>
    <w:rsid w:val="00E13BC4"/>
    <w:rsid w:val="00E13E8E"/>
    <w:rsid w:val="00E140B6"/>
    <w:rsid w:val="00E14820"/>
    <w:rsid w:val="00E16C1C"/>
    <w:rsid w:val="00E171BA"/>
    <w:rsid w:val="00E179A4"/>
    <w:rsid w:val="00E211D2"/>
    <w:rsid w:val="00E22F29"/>
    <w:rsid w:val="00E249F5"/>
    <w:rsid w:val="00E24FE2"/>
    <w:rsid w:val="00E26A6D"/>
    <w:rsid w:val="00E26B0E"/>
    <w:rsid w:val="00E27098"/>
    <w:rsid w:val="00E319AD"/>
    <w:rsid w:val="00E32235"/>
    <w:rsid w:val="00E35215"/>
    <w:rsid w:val="00E35EA4"/>
    <w:rsid w:val="00E3625E"/>
    <w:rsid w:val="00E369F0"/>
    <w:rsid w:val="00E40312"/>
    <w:rsid w:val="00E407B2"/>
    <w:rsid w:val="00E415FA"/>
    <w:rsid w:val="00E41CA8"/>
    <w:rsid w:val="00E42382"/>
    <w:rsid w:val="00E42932"/>
    <w:rsid w:val="00E44E53"/>
    <w:rsid w:val="00E45D79"/>
    <w:rsid w:val="00E46833"/>
    <w:rsid w:val="00E4721D"/>
    <w:rsid w:val="00E50648"/>
    <w:rsid w:val="00E5110A"/>
    <w:rsid w:val="00E51687"/>
    <w:rsid w:val="00E522E8"/>
    <w:rsid w:val="00E52AF8"/>
    <w:rsid w:val="00E52C03"/>
    <w:rsid w:val="00E52C89"/>
    <w:rsid w:val="00E53230"/>
    <w:rsid w:val="00E545BD"/>
    <w:rsid w:val="00E54F0E"/>
    <w:rsid w:val="00E550AF"/>
    <w:rsid w:val="00E55C18"/>
    <w:rsid w:val="00E5770F"/>
    <w:rsid w:val="00E578E0"/>
    <w:rsid w:val="00E601D8"/>
    <w:rsid w:val="00E6078B"/>
    <w:rsid w:val="00E612EF"/>
    <w:rsid w:val="00E62133"/>
    <w:rsid w:val="00E637FD"/>
    <w:rsid w:val="00E63968"/>
    <w:rsid w:val="00E64021"/>
    <w:rsid w:val="00E64722"/>
    <w:rsid w:val="00E64B68"/>
    <w:rsid w:val="00E64FFE"/>
    <w:rsid w:val="00E677BF"/>
    <w:rsid w:val="00E67EF4"/>
    <w:rsid w:val="00E7046A"/>
    <w:rsid w:val="00E71A8D"/>
    <w:rsid w:val="00E72145"/>
    <w:rsid w:val="00E724A3"/>
    <w:rsid w:val="00E744F2"/>
    <w:rsid w:val="00E74932"/>
    <w:rsid w:val="00E749FD"/>
    <w:rsid w:val="00E755C4"/>
    <w:rsid w:val="00E757A2"/>
    <w:rsid w:val="00E75AC7"/>
    <w:rsid w:val="00E76EC1"/>
    <w:rsid w:val="00E77915"/>
    <w:rsid w:val="00E77FF3"/>
    <w:rsid w:val="00E80226"/>
    <w:rsid w:val="00E8108F"/>
    <w:rsid w:val="00E81F1A"/>
    <w:rsid w:val="00E81FC6"/>
    <w:rsid w:val="00E83542"/>
    <w:rsid w:val="00E83F1F"/>
    <w:rsid w:val="00E845C4"/>
    <w:rsid w:val="00E846E1"/>
    <w:rsid w:val="00E86432"/>
    <w:rsid w:val="00E864D7"/>
    <w:rsid w:val="00E90231"/>
    <w:rsid w:val="00E93AFE"/>
    <w:rsid w:val="00E950AB"/>
    <w:rsid w:val="00E95348"/>
    <w:rsid w:val="00E95477"/>
    <w:rsid w:val="00EA2F79"/>
    <w:rsid w:val="00EA38E2"/>
    <w:rsid w:val="00EA3D83"/>
    <w:rsid w:val="00EA6AAC"/>
    <w:rsid w:val="00EA6C10"/>
    <w:rsid w:val="00EA7C09"/>
    <w:rsid w:val="00EB0AED"/>
    <w:rsid w:val="00EB0C25"/>
    <w:rsid w:val="00EB3C27"/>
    <w:rsid w:val="00EB5790"/>
    <w:rsid w:val="00EB5A7D"/>
    <w:rsid w:val="00EB72B4"/>
    <w:rsid w:val="00EC0034"/>
    <w:rsid w:val="00EC0529"/>
    <w:rsid w:val="00EC09D2"/>
    <w:rsid w:val="00EC0EDF"/>
    <w:rsid w:val="00EC1BE6"/>
    <w:rsid w:val="00EC1F24"/>
    <w:rsid w:val="00EC2624"/>
    <w:rsid w:val="00EC358F"/>
    <w:rsid w:val="00EC38E7"/>
    <w:rsid w:val="00EC3979"/>
    <w:rsid w:val="00EC6500"/>
    <w:rsid w:val="00EC77F2"/>
    <w:rsid w:val="00ED1066"/>
    <w:rsid w:val="00ED316F"/>
    <w:rsid w:val="00ED3307"/>
    <w:rsid w:val="00ED4DA9"/>
    <w:rsid w:val="00ED4DC5"/>
    <w:rsid w:val="00ED5557"/>
    <w:rsid w:val="00ED5613"/>
    <w:rsid w:val="00ED660C"/>
    <w:rsid w:val="00ED6759"/>
    <w:rsid w:val="00ED7530"/>
    <w:rsid w:val="00ED7C6A"/>
    <w:rsid w:val="00EE0A14"/>
    <w:rsid w:val="00EE1634"/>
    <w:rsid w:val="00EE20AC"/>
    <w:rsid w:val="00EE20EE"/>
    <w:rsid w:val="00EE301D"/>
    <w:rsid w:val="00EE47AA"/>
    <w:rsid w:val="00EE4AC0"/>
    <w:rsid w:val="00EE4D89"/>
    <w:rsid w:val="00EE513C"/>
    <w:rsid w:val="00EE6A75"/>
    <w:rsid w:val="00EE7223"/>
    <w:rsid w:val="00EF0399"/>
    <w:rsid w:val="00EF0EF4"/>
    <w:rsid w:val="00EF1848"/>
    <w:rsid w:val="00EF2ACC"/>
    <w:rsid w:val="00EF42D8"/>
    <w:rsid w:val="00EF4FA1"/>
    <w:rsid w:val="00EF52D7"/>
    <w:rsid w:val="00F02F5C"/>
    <w:rsid w:val="00F036D0"/>
    <w:rsid w:val="00F040DD"/>
    <w:rsid w:val="00F062B5"/>
    <w:rsid w:val="00F0634B"/>
    <w:rsid w:val="00F10040"/>
    <w:rsid w:val="00F1056A"/>
    <w:rsid w:val="00F108FD"/>
    <w:rsid w:val="00F10CDB"/>
    <w:rsid w:val="00F14BD7"/>
    <w:rsid w:val="00F154AA"/>
    <w:rsid w:val="00F172F2"/>
    <w:rsid w:val="00F2117B"/>
    <w:rsid w:val="00F22522"/>
    <w:rsid w:val="00F24080"/>
    <w:rsid w:val="00F243E1"/>
    <w:rsid w:val="00F270EE"/>
    <w:rsid w:val="00F30014"/>
    <w:rsid w:val="00F30065"/>
    <w:rsid w:val="00F301F6"/>
    <w:rsid w:val="00F3385F"/>
    <w:rsid w:val="00F3386F"/>
    <w:rsid w:val="00F33B60"/>
    <w:rsid w:val="00F33D31"/>
    <w:rsid w:val="00F347CA"/>
    <w:rsid w:val="00F35231"/>
    <w:rsid w:val="00F359B0"/>
    <w:rsid w:val="00F36C4F"/>
    <w:rsid w:val="00F370AE"/>
    <w:rsid w:val="00F375A3"/>
    <w:rsid w:val="00F3785F"/>
    <w:rsid w:val="00F3788D"/>
    <w:rsid w:val="00F42AF3"/>
    <w:rsid w:val="00F42EF8"/>
    <w:rsid w:val="00F44C8E"/>
    <w:rsid w:val="00F47FA4"/>
    <w:rsid w:val="00F51EFB"/>
    <w:rsid w:val="00F53320"/>
    <w:rsid w:val="00F53E0A"/>
    <w:rsid w:val="00F5416B"/>
    <w:rsid w:val="00F56191"/>
    <w:rsid w:val="00F56987"/>
    <w:rsid w:val="00F57635"/>
    <w:rsid w:val="00F5789B"/>
    <w:rsid w:val="00F61D43"/>
    <w:rsid w:val="00F61F6B"/>
    <w:rsid w:val="00F647E4"/>
    <w:rsid w:val="00F64E25"/>
    <w:rsid w:val="00F65028"/>
    <w:rsid w:val="00F658AD"/>
    <w:rsid w:val="00F658F6"/>
    <w:rsid w:val="00F65BC0"/>
    <w:rsid w:val="00F66C6B"/>
    <w:rsid w:val="00F67B9F"/>
    <w:rsid w:val="00F67E7A"/>
    <w:rsid w:val="00F7103B"/>
    <w:rsid w:val="00F71CCF"/>
    <w:rsid w:val="00F7348B"/>
    <w:rsid w:val="00F74A5A"/>
    <w:rsid w:val="00F74D92"/>
    <w:rsid w:val="00F7518B"/>
    <w:rsid w:val="00F76116"/>
    <w:rsid w:val="00F7658A"/>
    <w:rsid w:val="00F7799C"/>
    <w:rsid w:val="00F800AA"/>
    <w:rsid w:val="00F810F4"/>
    <w:rsid w:val="00F816D7"/>
    <w:rsid w:val="00F82172"/>
    <w:rsid w:val="00F84343"/>
    <w:rsid w:val="00F86016"/>
    <w:rsid w:val="00F86F12"/>
    <w:rsid w:val="00F90256"/>
    <w:rsid w:val="00F93F47"/>
    <w:rsid w:val="00F9420E"/>
    <w:rsid w:val="00F94A06"/>
    <w:rsid w:val="00F95AAF"/>
    <w:rsid w:val="00F96592"/>
    <w:rsid w:val="00F96C0A"/>
    <w:rsid w:val="00F96CA8"/>
    <w:rsid w:val="00F97075"/>
    <w:rsid w:val="00FA07FF"/>
    <w:rsid w:val="00FA0999"/>
    <w:rsid w:val="00FA1E95"/>
    <w:rsid w:val="00FA300F"/>
    <w:rsid w:val="00FA582C"/>
    <w:rsid w:val="00FA58AF"/>
    <w:rsid w:val="00FA5B89"/>
    <w:rsid w:val="00FA66AB"/>
    <w:rsid w:val="00FA6C63"/>
    <w:rsid w:val="00FB143C"/>
    <w:rsid w:val="00FB29F7"/>
    <w:rsid w:val="00FB2E16"/>
    <w:rsid w:val="00FB2E73"/>
    <w:rsid w:val="00FB373A"/>
    <w:rsid w:val="00FB3CA5"/>
    <w:rsid w:val="00FB3E26"/>
    <w:rsid w:val="00FB50D0"/>
    <w:rsid w:val="00FC03B4"/>
    <w:rsid w:val="00FC3388"/>
    <w:rsid w:val="00FC372D"/>
    <w:rsid w:val="00FC3D5D"/>
    <w:rsid w:val="00FC3F1C"/>
    <w:rsid w:val="00FC4598"/>
    <w:rsid w:val="00FC5291"/>
    <w:rsid w:val="00FC631A"/>
    <w:rsid w:val="00FC6DD6"/>
    <w:rsid w:val="00FD1C54"/>
    <w:rsid w:val="00FD7736"/>
    <w:rsid w:val="00FE24DC"/>
    <w:rsid w:val="00FE3A25"/>
    <w:rsid w:val="00FE3B46"/>
    <w:rsid w:val="00FE43E7"/>
    <w:rsid w:val="00FE4B74"/>
    <w:rsid w:val="00FE5A29"/>
    <w:rsid w:val="00FE5CC1"/>
    <w:rsid w:val="00FE61BF"/>
    <w:rsid w:val="00FF14BC"/>
    <w:rsid w:val="00FF241D"/>
    <w:rsid w:val="00FF2D72"/>
    <w:rsid w:val="00FF5C54"/>
    <w:rsid w:val="00FF75B6"/>
    <w:rsid w:val="00FF7765"/>
    <w:rsid w:val="02757A17"/>
    <w:rsid w:val="08BF61EF"/>
    <w:rsid w:val="0FC664DA"/>
    <w:rsid w:val="0FFA7AAF"/>
    <w:rsid w:val="19B15054"/>
    <w:rsid w:val="1E67790D"/>
    <w:rsid w:val="1FF81896"/>
    <w:rsid w:val="277F165F"/>
    <w:rsid w:val="2B284A21"/>
    <w:rsid w:val="2CF40992"/>
    <w:rsid w:val="2F5311E9"/>
    <w:rsid w:val="362B128E"/>
    <w:rsid w:val="383D6FC9"/>
    <w:rsid w:val="393E0667"/>
    <w:rsid w:val="3A083F74"/>
    <w:rsid w:val="42CE21C5"/>
    <w:rsid w:val="4CB50902"/>
    <w:rsid w:val="5CBA6837"/>
    <w:rsid w:val="5CE91D20"/>
    <w:rsid w:val="5F5D2241"/>
    <w:rsid w:val="61E915B8"/>
    <w:rsid w:val="68B561CC"/>
    <w:rsid w:val="6B350873"/>
    <w:rsid w:val="7723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8"/>
    <w:qFormat/>
    <w:uiPriority w:val="0"/>
    <w:pPr>
      <w:keepNext/>
      <w:keepLines/>
      <w:spacing w:before="260" w:after="260" w:line="416" w:lineRule="auto"/>
      <w:outlineLvl w:val="2"/>
    </w:pPr>
    <w:rPr>
      <w:b/>
      <w:bCs/>
      <w:sz w:val="32"/>
      <w:szCs w:val="32"/>
    </w:rPr>
  </w:style>
  <w:style w:type="paragraph" w:styleId="5">
    <w:name w:val="heading 4"/>
    <w:basedOn w:val="1"/>
    <w:next w:val="1"/>
    <w:link w:val="186"/>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6">
    <w:name w:val="heading 5"/>
    <w:basedOn w:val="1"/>
    <w:next w:val="1"/>
    <w:link w:val="182"/>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7">
    <w:name w:val="heading 6"/>
    <w:basedOn w:val="1"/>
    <w:next w:val="1"/>
    <w:link w:val="180"/>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8">
    <w:name w:val="heading 7"/>
    <w:basedOn w:val="1"/>
    <w:next w:val="1"/>
    <w:link w:val="184"/>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9">
    <w:name w:val="heading 8"/>
    <w:basedOn w:val="1"/>
    <w:next w:val="1"/>
    <w:link w:val="133"/>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0">
    <w:name w:val="heading 9"/>
    <w:basedOn w:val="1"/>
    <w:next w:val="1"/>
    <w:link w:val="94"/>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3">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pPr>
  </w:style>
  <w:style w:type="paragraph" w:styleId="12">
    <w:name w:val="toc 7"/>
    <w:basedOn w:val="1"/>
    <w:next w:val="1"/>
    <w:qFormat/>
    <w:uiPriority w:val="0"/>
    <w:pPr>
      <w:ind w:left="1260"/>
      <w:jc w:val="left"/>
    </w:pPr>
    <w:rPr>
      <w:rFonts w:ascii="仿宋_GB2312" w:eastAsia="仿宋_GB2312"/>
      <w:sz w:val="18"/>
      <w:szCs w:val="18"/>
    </w:rPr>
  </w:style>
  <w:style w:type="paragraph" w:styleId="13">
    <w:name w:val="index 8"/>
    <w:basedOn w:val="1"/>
    <w:next w:val="1"/>
    <w:qFormat/>
    <w:uiPriority w:val="0"/>
    <w:pPr>
      <w:widowControl/>
      <w:ind w:left="1920" w:hanging="240"/>
      <w:jc w:val="left"/>
    </w:pPr>
    <w:rPr>
      <w:rFonts w:ascii="仿宋_GB2312" w:eastAsia="仿宋_GB2312"/>
      <w:kern w:val="0"/>
      <w:sz w:val="24"/>
      <w:szCs w:val="28"/>
    </w:rPr>
  </w:style>
  <w:style w:type="paragraph" w:styleId="14">
    <w:name w:val="Normal Indent"/>
    <w:basedOn w:val="1"/>
    <w:link w:val="86"/>
    <w:qFormat/>
    <w:uiPriority w:val="0"/>
    <w:pPr>
      <w:widowControl/>
      <w:adjustRightInd w:val="0"/>
      <w:snapToGrid w:val="0"/>
      <w:spacing w:line="480" w:lineRule="exact"/>
      <w:ind w:firstLine="567"/>
    </w:pPr>
    <w:rPr>
      <w:rFonts w:ascii="宋体"/>
      <w:snapToGrid w:val="0"/>
      <w:color w:val="000000"/>
      <w:kern w:val="28"/>
      <w:sz w:val="28"/>
    </w:rPr>
  </w:style>
  <w:style w:type="paragraph" w:styleId="15">
    <w:name w:val="caption"/>
    <w:basedOn w:val="1"/>
    <w:next w:val="1"/>
    <w:qFormat/>
    <w:uiPriority w:val="0"/>
    <w:pPr>
      <w:widowControl/>
      <w:spacing w:after="480"/>
      <w:jc w:val="left"/>
    </w:pPr>
    <w:rPr>
      <w:rFonts w:ascii="Calibri" w:hAnsi="Calibri"/>
      <w:b/>
      <w:bCs/>
      <w:color w:val="4F81BD"/>
      <w:kern w:val="0"/>
      <w:sz w:val="18"/>
      <w:szCs w:val="18"/>
      <w:lang w:eastAsia="en-US" w:bidi="en-US"/>
    </w:rPr>
  </w:style>
  <w:style w:type="paragraph" w:styleId="16">
    <w:name w:val="index 5"/>
    <w:basedOn w:val="1"/>
    <w:next w:val="1"/>
    <w:qFormat/>
    <w:uiPriority w:val="0"/>
    <w:pPr>
      <w:widowControl/>
      <w:ind w:left="1200" w:hanging="240"/>
      <w:jc w:val="left"/>
    </w:pPr>
    <w:rPr>
      <w:rFonts w:ascii="仿宋_GB2312" w:eastAsia="仿宋_GB2312"/>
      <w:kern w:val="0"/>
      <w:sz w:val="24"/>
      <w:szCs w:val="28"/>
    </w:rPr>
  </w:style>
  <w:style w:type="paragraph" w:styleId="17">
    <w:name w:val="List Bullet"/>
    <w:basedOn w:val="18"/>
    <w:qFormat/>
    <w:uiPriority w:val="0"/>
    <w:pPr>
      <w:widowControl/>
      <w:numPr>
        <w:ilvl w:val="0"/>
        <w:numId w:val="2"/>
      </w:numPr>
      <w:tabs>
        <w:tab w:val="left" w:pos="840"/>
      </w:tabs>
      <w:spacing w:line="360" w:lineRule="auto"/>
      <w:ind w:right="720" w:firstLine="0" w:firstLineChars="0"/>
      <w:jc w:val="left"/>
    </w:pPr>
    <w:rPr>
      <w:kern w:val="0"/>
      <w:sz w:val="24"/>
      <w:szCs w:val="20"/>
    </w:rPr>
  </w:style>
  <w:style w:type="paragraph" w:styleId="18">
    <w:name w:val="List"/>
    <w:basedOn w:val="1"/>
    <w:qFormat/>
    <w:uiPriority w:val="0"/>
    <w:pPr>
      <w:ind w:left="200" w:hanging="200" w:hangingChars="200"/>
    </w:pPr>
    <w:rPr>
      <w:rFonts w:ascii="仿宋_GB2312" w:eastAsia="仿宋_GB2312"/>
      <w:sz w:val="28"/>
      <w:szCs w:val="28"/>
    </w:rPr>
  </w:style>
  <w:style w:type="paragraph" w:styleId="19">
    <w:name w:val="Document Map"/>
    <w:basedOn w:val="1"/>
    <w:link w:val="163"/>
    <w:qFormat/>
    <w:uiPriority w:val="0"/>
    <w:pPr>
      <w:shd w:val="clear" w:color="auto" w:fill="000080"/>
    </w:pPr>
    <w:rPr>
      <w:kern w:val="0"/>
      <w:sz w:val="20"/>
      <w:szCs w:val="24"/>
      <w:shd w:val="clear" w:color="auto" w:fill="000080"/>
    </w:rPr>
  </w:style>
  <w:style w:type="paragraph" w:styleId="20">
    <w:name w:val="annotation text"/>
    <w:basedOn w:val="1"/>
    <w:link w:val="123"/>
    <w:unhideWhenUsed/>
    <w:qFormat/>
    <w:uiPriority w:val="0"/>
    <w:pPr>
      <w:jc w:val="left"/>
    </w:pPr>
    <w:rPr>
      <w:rFonts w:ascii="仿宋_GB2312" w:eastAsia="仿宋_GB2312"/>
      <w:sz w:val="28"/>
      <w:szCs w:val="28"/>
    </w:rPr>
  </w:style>
  <w:style w:type="paragraph" w:styleId="21">
    <w:name w:val="index 6"/>
    <w:basedOn w:val="1"/>
    <w:next w:val="1"/>
    <w:qFormat/>
    <w:uiPriority w:val="0"/>
    <w:pPr>
      <w:widowControl/>
      <w:ind w:left="1440" w:hanging="240"/>
      <w:jc w:val="left"/>
    </w:pPr>
    <w:rPr>
      <w:rFonts w:ascii="仿宋_GB2312" w:eastAsia="仿宋_GB2312"/>
      <w:kern w:val="0"/>
      <w:sz w:val="24"/>
      <w:szCs w:val="28"/>
    </w:rPr>
  </w:style>
  <w:style w:type="paragraph" w:styleId="22">
    <w:name w:val="Body Text 3"/>
    <w:basedOn w:val="1"/>
    <w:link w:val="116"/>
    <w:qFormat/>
    <w:uiPriority w:val="0"/>
    <w:rPr>
      <w:rFonts w:ascii="宋体" w:hAnsi="宋体"/>
      <w:b/>
      <w:bCs/>
      <w:sz w:val="24"/>
      <w:szCs w:val="24"/>
    </w:rPr>
  </w:style>
  <w:style w:type="paragraph" w:styleId="23">
    <w:name w:val="Body Text"/>
    <w:basedOn w:val="1"/>
    <w:link w:val="145"/>
    <w:qFormat/>
    <w:uiPriority w:val="0"/>
    <w:rPr>
      <w:rFonts w:eastAsia="黑体"/>
      <w:b/>
      <w:bCs/>
      <w:spacing w:val="20"/>
      <w:kern w:val="52"/>
      <w:sz w:val="56"/>
      <w:szCs w:val="24"/>
    </w:rPr>
  </w:style>
  <w:style w:type="paragraph" w:styleId="24">
    <w:name w:val="Body Text Indent"/>
    <w:basedOn w:val="1"/>
    <w:link w:val="136"/>
    <w:qFormat/>
    <w:uiPriority w:val="0"/>
    <w:pPr>
      <w:spacing w:line="360" w:lineRule="auto"/>
      <w:ind w:firstLine="435"/>
    </w:pPr>
    <w:rPr>
      <w:sz w:val="28"/>
      <w:szCs w:val="24"/>
    </w:rPr>
  </w:style>
  <w:style w:type="paragraph" w:styleId="25">
    <w:name w:val="List Number 3"/>
    <w:basedOn w:val="1"/>
    <w:qFormat/>
    <w:uiPriority w:val="0"/>
    <w:pPr>
      <w:numPr>
        <w:ilvl w:val="0"/>
        <w:numId w:val="3"/>
      </w:numPr>
      <w:contextualSpacing/>
    </w:pPr>
    <w:rPr>
      <w:rFonts w:ascii="仿宋_GB2312" w:eastAsia="仿宋_GB2312"/>
      <w:sz w:val="28"/>
      <w:szCs w:val="28"/>
    </w:rPr>
  </w:style>
  <w:style w:type="paragraph" w:styleId="26">
    <w:name w:val="List 2"/>
    <w:basedOn w:val="18"/>
    <w:qFormat/>
    <w:uiPriority w:val="0"/>
    <w:pPr>
      <w:spacing w:after="120" w:line="400" w:lineRule="exact"/>
      <w:ind w:left="0" w:firstLine="0" w:firstLineChars="0"/>
    </w:pPr>
    <w:rPr>
      <w:sz w:val="24"/>
      <w:szCs w:val="20"/>
    </w:rPr>
  </w:style>
  <w:style w:type="paragraph" w:styleId="27">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仿宋_GB2312" w:eastAsia="仿宋_GB2312"/>
      <w:sz w:val="18"/>
      <w:szCs w:val="18"/>
    </w:rPr>
  </w:style>
  <w:style w:type="paragraph" w:styleId="30">
    <w:name w:val="toc 3"/>
    <w:basedOn w:val="1"/>
    <w:next w:val="1"/>
    <w:qFormat/>
    <w:uiPriority w:val="39"/>
    <w:pPr>
      <w:ind w:left="420"/>
      <w:jc w:val="left"/>
    </w:pPr>
    <w:rPr>
      <w:rFonts w:ascii="仿宋_GB2312" w:eastAsia="仿宋_GB2312"/>
      <w:i/>
      <w:iCs/>
      <w:sz w:val="20"/>
    </w:rPr>
  </w:style>
  <w:style w:type="paragraph" w:styleId="31">
    <w:name w:val="Plain Text"/>
    <w:basedOn w:val="1"/>
    <w:link w:val="91"/>
    <w:qFormat/>
    <w:uiPriority w:val="99"/>
    <w:rPr>
      <w:rFonts w:ascii="宋体" w:hAnsi="Courier New"/>
    </w:rPr>
  </w:style>
  <w:style w:type="paragraph" w:styleId="32">
    <w:name w:val="toc 8"/>
    <w:basedOn w:val="1"/>
    <w:next w:val="1"/>
    <w:qFormat/>
    <w:uiPriority w:val="0"/>
    <w:pPr>
      <w:ind w:left="1470"/>
      <w:jc w:val="left"/>
    </w:pPr>
    <w:rPr>
      <w:rFonts w:ascii="仿宋_GB2312" w:eastAsia="仿宋_GB2312"/>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146"/>
    <w:qFormat/>
    <w:uiPriority w:val="0"/>
    <w:pPr>
      <w:ind w:left="100" w:leftChars="2500"/>
    </w:pPr>
  </w:style>
  <w:style w:type="paragraph" w:styleId="35">
    <w:name w:val="Body Text Indent 2"/>
    <w:basedOn w:val="1"/>
    <w:link w:val="175"/>
    <w:qFormat/>
    <w:uiPriority w:val="0"/>
    <w:pPr>
      <w:spacing w:line="432" w:lineRule="auto"/>
      <w:ind w:firstLine="480" w:firstLineChars="200"/>
    </w:pPr>
    <w:rPr>
      <w:sz w:val="24"/>
      <w:szCs w:val="21"/>
    </w:rPr>
  </w:style>
  <w:style w:type="paragraph" w:styleId="36">
    <w:name w:val="endnote text"/>
    <w:basedOn w:val="1"/>
    <w:link w:val="102"/>
    <w:qFormat/>
    <w:uiPriority w:val="0"/>
    <w:pPr>
      <w:snapToGrid w:val="0"/>
      <w:jc w:val="left"/>
    </w:pPr>
    <w:rPr>
      <w:rFonts w:ascii="仿宋_GB2312" w:eastAsia="仿宋_GB2312"/>
      <w:sz w:val="28"/>
      <w:szCs w:val="28"/>
    </w:rPr>
  </w:style>
  <w:style w:type="paragraph" w:styleId="37">
    <w:name w:val="Balloon Text"/>
    <w:basedOn w:val="1"/>
    <w:link w:val="147"/>
    <w:semiHidden/>
    <w:qFormat/>
    <w:uiPriority w:val="0"/>
    <w:rPr>
      <w:sz w:val="18"/>
      <w:szCs w:val="18"/>
    </w:rPr>
  </w:style>
  <w:style w:type="paragraph" w:styleId="38">
    <w:name w:val="footer"/>
    <w:basedOn w:val="1"/>
    <w:link w:val="151"/>
    <w:qFormat/>
    <w:uiPriority w:val="0"/>
    <w:pPr>
      <w:tabs>
        <w:tab w:val="center" w:pos="4153"/>
        <w:tab w:val="right" w:pos="8306"/>
      </w:tabs>
      <w:snapToGrid w:val="0"/>
      <w:jc w:val="left"/>
    </w:pPr>
    <w:rPr>
      <w:sz w:val="18"/>
      <w:szCs w:val="18"/>
    </w:rPr>
  </w:style>
  <w:style w:type="paragraph" w:styleId="39">
    <w:name w:val="header"/>
    <w:basedOn w:val="1"/>
    <w:link w:val="1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qFormat/>
    <w:uiPriority w:val="39"/>
    <w:pPr>
      <w:spacing w:line="360" w:lineRule="auto"/>
    </w:pPr>
    <w:rPr>
      <w:rFonts w:eastAsia="仿宋_GB2312"/>
      <w:sz w:val="32"/>
    </w:rPr>
  </w:style>
  <w:style w:type="paragraph" w:styleId="41">
    <w:name w:val="toc 4"/>
    <w:basedOn w:val="1"/>
    <w:next w:val="1"/>
    <w:qFormat/>
    <w:uiPriority w:val="0"/>
    <w:pPr>
      <w:ind w:left="630"/>
      <w:jc w:val="left"/>
    </w:pPr>
    <w:rPr>
      <w:rFonts w:ascii="仿宋_GB2312" w:eastAsia="仿宋_GB2312"/>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119"/>
    <w:qFormat/>
    <w:uiPriority w:val="0"/>
    <w:pPr>
      <w:snapToGrid w:val="0"/>
      <w:jc w:val="left"/>
    </w:pPr>
    <w:rPr>
      <w:rFonts w:ascii="仿宋_GB2312" w:eastAsia="仿宋_GB2312"/>
      <w:sz w:val="18"/>
      <w:szCs w:val="18"/>
    </w:rPr>
  </w:style>
  <w:style w:type="paragraph" w:styleId="46">
    <w:name w:val="toc 6"/>
    <w:basedOn w:val="1"/>
    <w:next w:val="1"/>
    <w:qFormat/>
    <w:uiPriority w:val="0"/>
    <w:pPr>
      <w:ind w:left="1050"/>
      <w:jc w:val="left"/>
    </w:pPr>
    <w:rPr>
      <w:rFonts w:ascii="仿宋_GB2312" w:eastAsia="仿宋_GB2312"/>
      <w:sz w:val="18"/>
      <w:szCs w:val="18"/>
    </w:rPr>
  </w:style>
  <w:style w:type="paragraph" w:styleId="47">
    <w:name w:val="Body Text Indent 3"/>
    <w:basedOn w:val="1"/>
    <w:link w:val="109"/>
    <w:qFormat/>
    <w:uiPriority w:val="0"/>
    <w:pPr>
      <w:spacing w:line="540" w:lineRule="exact"/>
      <w:ind w:left="479" w:leftChars="228"/>
    </w:pPr>
    <w:rPr>
      <w:rFonts w:ascii="隶书" w:hAnsi="宋体" w:eastAsia="隶书"/>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qFormat/>
    <w:uiPriority w:val="39"/>
    <w:pPr>
      <w:ind w:left="210"/>
      <w:jc w:val="left"/>
    </w:pPr>
    <w:rPr>
      <w:rFonts w:ascii="仿宋_GB2312" w:eastAsia="仿宋_GB2312"/>
      <w:smallCaps/>
      <w:sz w:val="20"/>
    </w:rPr>
  </w:style>
  <w:style w:type="paragraph" w:styleId="52">
    <w:name w:val="toc 9"/>
    <w:basedOn w:val="1"/>
    <w:next w:val="1"/>
    <w:qFormat/>
    <w:uiPriority w:val="0"/>
    <w:pPr>
      <w:ind w:left="1680"/>
      <w:jc w:val="left"/>
    </w:pPr>
    <w:rPr>
      <w:rFonts w:ascii="仿宋_GB2312" w:eastAsia="仿宋_GB2312"/>
      <w:sz w:val="18"/>
      <w:szCs w:val="18"/>
    </w:rPr>
  </w:style>
  <w:style w:type="paragraph" w:styleId="53">
    <w:name w:val="Body Text 2"/>
    <w:basedOn w:val="1"/>
    <w:link w:val="161"/>
    <w:qFormat/>
    <w:uiPriority w:val="0"/>
    <w:pPr>
      <w:spacing w:line="360" w:lineRule="auto"/>
    </w:pPr>
    <w:rPr>
      <w:sz w:val="24"/>
      <w:szCs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widowControl/>
      <w:ind w:left="480" w:hanging="240"/>
      <w:jc w:val="left"/>
    </w:pPr>
    <w:rPr>
      <w:rFonts w:ascii="仿宋_GB2312" w:eastAsia="仿宋_GB2312"/>
      <w:kern w:val="0"/>
      <w:sz w:val="24"/>
      <w:szCs w:val="28"/>
    </w:rPr>
  </w:style>
  <w:style w:type="paragraph" w:styleId="56">
    <w:name w:val="Title"/>
    <w:basedOn w:val="1"/>
    <w:next w:val="1"/>
    <w:link w:val="129"/>
    <w:qFormat/>
    <w:uiPriority w:val="0"/>
    <w:pPr>
      <w:jc w:val="center"/>
    </w:pPr>
    <w:rPr>
      <w:rFonts w:ascii="Arial" w:hAnsi="Arial"/>
      <w:b/>
      <w:kern w:val="0"/>
      <w:sz w:val="36"/>
      <w:lang w:eastAsia="en-US"/>
    </w:rPr>
  </w:style>
  <w:style w:type="paragraph" w:styleId="57">
    <w:name w:val="annotation subject"/>
    <w:basedOn w:val="20"/>
    <w:next w:val="20"/>
    <w:link w:val="113"/>
    <w:qFormat/>
    <w:uiPriority w:val="0"/>
    <w:rPr>
      <w:rFonts w:ascii="Times New Roman" w:eastAsia="宋体"/>
      <w:b/>
      <w:bCs/>
      <w:sz w:val="21"/>
      <w:szCs w:val="24"/>
    </w:rPr>
  </w:style>
  <w:style w:type="paragraph" w:styleId="58">
    <w:name w:val="Body Text First Indent"/>
    <w:basedOn w:val="23"/>
    <w:link w:val="110"/>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table" w:styleId="60">
    <w:name w:val="Table Grid"/>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Elegant"/>
    <w:basedOn w:val="5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Table Classic 1"/>
    <w:basedOn w:val="59"/>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basedOn w:val="63"/>
    <w:qFormat/>
    <w:uiPriority w:val="0"/>
  </w:style>
  <w:style w:type="character" w:styleId="67">
    <w:name w:val="FollowedHyperlink"/>
    <w:basedOn w:val="63"/>
    <w:qFormat/>
    <w:uiPriority w:val="0"/>
    <w:rPr>
      <w:color w:val="800080"/>
      <w:u w:val="none"/>
    </w:rPr>
  </w:style>
  <w:style w:type="character" w:styleId="68">
    <w:name w:val="Emphasis"/>
    <w:qFormat/>
    <w:uiPriority w:val="0"/>
    <w:rPr>
      <w:color w:val="CC0000"/>
    </w:rPr>
  </w:style>
  <w:style w:type="character" w:styleId="69">
    <w:name w:val="HTML Definition"/>
    <w:basedOn w:val="63"/>
    <w:qFormat/>
    <w:uiPriority w:val="0"/>
  </w:style>
  <w:style w:type="character" w:styleId="70">
    <w:name w:val="HTML Typewriter"/>
    <w:basedOn w:val="63"/>
    <w:qFormat/>
    <w:uiPriority w:val="0"/>
    <w:rPr>
      <w:rFonts w:hint="default" w:ascii="monospace" w:hAnsi="monospace" w:eastAsia="monospace" w:cs="monospace"/>
      <w:sz w:val="20"/>
    </w:rPr>
  </w:style>
  <w:style w:type="character" w:styleId="71">
    <w:name w:val="HTML Acronym"/>
    <w:basedOn w:val="63"/>
    <w:qFormat/>
    <w:uiPriority w:val="0"/>
  </w:style>
  <w:style w:type="character" w:styleId="72">
    <w:name w:val="HTML Variable"/>
    <w:basedOn w:val="63"/>
    <w:qFormat/>
    <w:uiPriority w:val="0"/>
  </w:style>
  <w:style w:type="character" w:styleId="73">
    <w:name w:val="Hyperlink"/>
    <w:basedOn w:val="63"/>
    <w:qFormat/>
    <w:uiPriority w:val="99"/>
    <w:rPr>
      <w:color w:val="0000FF"/>
      <w:u w:val="none"/>
    </w:rPr>
  </w:style>
  <w:style w:type="character" w:styleId="74">
    <w:name w:val="HTML Code"/>
    <w:basedOn w:val="63"/>
    <w:qFormat/>
    <w:uiPriority w:val="0"/>
    <w:rPr>
      <w:rFonts w:hint="default" w:ascii="monospace" w:hAnsi="monospace" w:eastAsia="monospace" w:cs="monospace"/>
      <w:sz w:val="20"/>
    </w:rPr>
  </w:style>
  <w:style w:type="character" w:styleId="75">
    <w:name w:val="annotation reference"/>
    <w:qFormat/>
    <w:uiPriority w:val="0"/>
    <w:rPr>
      <w:sz w:val="21"/>
      <w:szCs w:val="21"/>
    </w:rPr>
  </w:style>
  <w:style w:type="character" w:styleId="76">
    <w:name w:val="HTML Cite"/>
    <w:basedOn w:val="63"/>
    <w:qFormat/>
    <w:uiPriority w:val="0"/>
  </w:style>
  <w:style w:type="character" w:styleId="77">
    <w:name w:val="footnote reference"/>
    <w:qFormat/>
    <w:uiPriority w:val="0"/>
    <w:rPr>
      <w:vertAlign w:val="superscript"/>
    </w:rPr>
  </w:style>
  <w:style w:type="character" w:styleId="78">
    <w:name w:val="HTML Keyboard"/>
    <w:basedOn w:val="63"/>
    <w:qFormat/>
    <w:uiPriority w:val="0"/>
    <w:rPr>
      <w:rFonts w:hint="default" w:ascii="monospace" w:hAnsi="monospace" w:eastAsia="monospace" w:cs="monospace"/>
      <w:sz w:val="20"/>
    </w:rPr>
  </w:style>
  <w:style w:type="character" w:styleId="79">
    <w:name w:val="HTML Sample"/>
    <w:basedOn w:val="63"/>
    <w:qFormat/>
    <w:uiPriority w:val="0"/>
    <w:rPr>
      <w:rFonts w:ascii="monospace" w:hAnsi="monospace" w:eastAsia="monospace" w:cs="monospace"/>
    </w:rPr>
  </w:style>
  <w:style w:type="character" w:customStyle="1" w:styleId="80">
    <w:name w:val="批注文字 Char"/>
    <w:qFormat/>
    <w:uiPriority w:val="0"/>
    <w:rPr>
      <w:rFonts w:eastAsia="宋体"/>
      <w:kern w:val="2"/>
      <w:sz w:val="21"/>
      <w:szCs w:val="24"/>
      <w:lang w:val="en-US" w:eastAsia="zh-CN" w:bidi="ar-SA"/>
    </w:rPr>
  </w:style>
  <w:style w:type="character" w:customStyle="1" w:styleId="81">
    <w:name w:val="书籍标题1"/>
    <w:qFormat/>
    <w:uiPriority w:val="0"/>
    <w:rPr>
      <w:b/>
      <w:bCs/>
      <w:smallCaps/>
      <w:spacing w:val="5"/>
    </w:rPr>
  </w:style>
  <w:style w:type="character" w:customStyle="1" w:styleId="82">
    <w:name w:val="PI Char1"/>
    <w:qFormat/>
    <w:uiPriority w:val="0"/>
    <w:rPr>
      <w:rFonts w:ascii="仿宋_GB2312" w:eastAsia="仿宋_GB2312"/>
      <w:kern w:val="2"/>
      <w:sz w:val="28"/>
      <w:szCs w:val="28"/>
      <w:lang w:val="zh-CN" w:eastAsia="zh-CN" w:bidi="ar-SA"/>
    </w:rPr>
  </w:style>
  <w:style w:type="character" w:customStyle="1" w:styleId="83">
    <w:name w:val="g1"/>
    <w:qFormat/>
    <w:uiPriority w:val="0"/>
    <w:rPr>
      <w:color w:val="008000"/>
    </w:rPr>
  </w:style>
  <w:style w:type="character" w:customStyle="1" w:styleId="84">
    <w:name w:val="H6 Char1"/>
    <w:qFormat/>
    <w:uiPriority w:val="0"/>
    <w:rPr>
      <w:rFonts w:ascii="Arial" w:hAnsi="Arial" w:eastAsia="宋体" w:cs="Times New Roman"/>
      <w:i/>
      <w:sz w:val="22"/>
      <w:szCs w:val="28"/>
    </w:rPr>
  </w:style>
  <w:style w:type="character" w:customStyle="1" w:styleId="85">
    <w:name w:val="Char Char18"/>
    <w:qFormat/>
    <w:uiPriority w:val="0"/>
    <w:rPr>
      <w:rFonts w:ascii="Cambria" w:hAnsi="Cambria" w:eastAsia="宋体" w:cs="Times New Roman"/>
      <w:i/>
      <w:iCs/>
      <w:color w:val="404040"/>
      <w:sz w:val="20"/>
      <w:szCs w:val="20"/>
    </w:rPr>
  </w:style>
  <w:style w:type="character" w:customStyle="1" w:styleId="86">
    <w:name w:val="正文缩进 Char"/>
    <w:link w:val="14"/>
    <w:qFormat/>
    <w:uiPriority w:val="0"/>
    <w:rPr>
      <w:rFonts w:ascii="宋体" w:eastAsia="宋体"/>
      <w:snapToGrid w:val="0"/>
      <w:color w:val="000000"/>
      <w:kern w:val="28"/>
      <w:sz w:val="28"/>
      <w:lang w:val="en-US" w:eastAsia="zh-CN" w:bidi="ar-SA"/>
    </w:rPr>
  </w:style>
  <w:style w:type="character" w:customStyle="1" w:styleId="87">
    <w:name w:val="bullet Char"/>
    <w:qFormat/>
    <w:uiPriority w:val="0"/>
    <w:rPr>
      <w:b/>
      <w:i/>
      <w:sz w:val="24"/>
    </w:rPr>
  </w:style>
  <w:style w:type="character" w:customStyle="1" w:styleId="88">
    <w:name w:val="Char Char"/>
    <w:qFormat/>
    <w:uiPriority w:val="0"/>
    <w:rPr>
      <w:rFonts w:ascii="宋体" w:hAnsi="宋体" w:eastAsia="宋体"/>
      <w:sz w:val="24"/>
      <w:szCs w:val="24"/>
      <w:lang w:val="en-US" w:eastAsia="zh-CN" w:bidi="ar-SA"/>
    </w:rPr>
  </w:style>
  <w:style w:type="character" w:customStyle="1" w:styleId="89">
    <w:name w:val="批注主题 Char1"/>
    <w:semiHidden/>
    <w:qFormat/>
    <w:uiPriority w:val="0"/>
    <w:rPr>
      <w:rFonts w:ascii="仿宋_GB2312" w:eastAsia="仿宋_GB2312"/>
      <w:b/>
      <w:bCs/>
      <w:kern w:val="2"/>
      <w:sz w:val="28"/>
      <w:szCs w:val="28"/>
      <w:lang w:val="en-US" w:eastAsia="zh-CN" w:bidi="ar-SA"/>
    </w:rPr>
  </w:style>
  <w:style w:type="character" w:customStyle="1" w:styleId="90">
    <w:name w:val="正文文本缩进 Char"/>
    <w:qFormat/>
    <w:uiPriority w:val="0"/>
    <w:rPr>
      <w:rFonts w:ascii="仿宋_GB2312" w:hAnsi="Times New Roman" w:eastAsia="仿宋_GB2312" w:cs="Times New Roman"/>
      <w:sz w:val="28"/>
      <w:szCs w:val="28"/>
    </w:rPr>
  </w:style>
  <w:style w:type="character" w:customStyle="1" w:styleId="91">
    <w:name w:val="纯文本 Char"/>
    <w:link w:val="31"/>
    <w:qFormat/>
    <w:locked/>
    <w:uiPriority w:val="99"/>
    <w:rPr>
      <w:rFonts w:ascii="宋体" w:hAnsi="Courier New" w:eastAsia="宋体"/>
      <w:kern w:val="2"/>
      <w:sz w:val="21"/>
      <w:lang w:val="en-US" w:eastAsia="zh-CN" w:bidi="ar-SA"/>
    </w:rPr>
  </w:style>
  <w:style w:type="character" w:customStyle="1" w:styleId="92">
    <w:name w:val="EHPT Char"/>
    <w:qFormat/>
    <w:uiPriority w:val="0"/>
    <w:rPr>
      <w:rFonts w:ascii="Calibri" w:hAnsi="Calibri" w:eastAsia="宋体"/>
      <w:kern w:val="2"/>
      <w:sz w:val="21"/>
      <w:szCs w:val="22"/>
      <w:lang w:val="en-US" w:eastAsia="zh-CN" w:bidi="ar-SA"/>
    </w:rPr>
  </w:style>
  <w:style w:type="character" w:customStyle="1" w:styleId="93">
    <w:name w:val="Heading 2 Hidden Char2"/>
    <w:qFormat/>
    <w:uiPriority w:val="0"/>
    <w:rPr>
      <w:rFonts w:ascii="Cambria" w:hAnsi="Cambria" w:eastAsia="宋体" w:cs="Times New Roman"/>
      <w:b/>
      <w:bCs/>
      <w:color w:val="4F81BD"/>
      <w:sz w:val="26"/>
      <w:szCs w:val="26"/>
    </w:rPr>
  </w:style>
  <w:style w:type="character" w:customStyle="1" w:styleId="94">
    <w:name w:val="标题 9 Char"/>
    <w:link w:val="10"/>
    <w:qFormat/>
    <w:uiPriority w:val="0"/>
    <w:rPr>
      <w:rFonts w:ascii="Arial" w:hAnsi="Arial" w:eastAsia="宋体"/>
      <w:i/>
      <w:kern w:val="2"/>
      <w:sz w:val="18"/>
      <w:szCs w:val="28"/>
      <w:lang w:val="en-US" w:eastAsia="zh-CN" w:bidi="ar-SA"/>
    </w:rPr>
  </w:style>
  <w:style w:type="character" w:customStyle="1" w:styleId="95">
    <w:name w:val="PI Char3"/>
    <w:qFormat/>
    <w:uiPriority w:val="0"/>
    <w:rPr>
      <w:rFonts w:ascii="仿宋_GB2312" w:eastAsia="仿宋_GB2312"/>
      <w:kern w:val="2"/>
      <w:sz w:val="28"/>
      <w:szCs w:val="28"/>
      <w:lang w:val="zh-CN"/>
    </w:rPr>
  </w:style>
  <w:style w:type="character" w:customStyle="1" w:styleId="96">
    <w:name w:val="标题 1 Char"/>
    <w:link w:val="2"/>
    <w:qFormat/>
    <w:uiPriority w:val="0"/>
    <w:rPr>
      <w:rFonts w:eastAsia="宋体"/>
      <w:b/>
      <w:bCs/>
      <w:kern w:val="44"/>
      <w:sz w:val="44"/>
      <w:szCs w:val="44"/>
      <w:lang w:val="en-US" w:eastAsia="zh-CN" w:bidi="ar-SA"/>
    </w:rPr>
  </w:style>
  <w:style w:type="character" w:customStyle="1" w:styleId="97">
    <w:name w:val="文档结构图 Char1"/>
    <w:semiHidden/>
    <w:qFormat/>
    <w:uiPriority w:val="0"/>
    <w:rPr>
      <w:rFonts w:ascii="宋体" w:hAnsi="Times New Roman" w:eastAsia="宋体" w:cs="Times New Roman"/>
      <w:sz w:val="18"/>
      <w:szCs w:val="18"/>
    </w:rPr>
  </w:style>
  <w:style w:type="character" w:customStyle="1" w:styleId="98">
    <w:name w:val="标题 2 Char1"/>
    <w:link w:val="3"/>
    <w:qFormat/>
    <w:uiPriority w:val="0"/>
    <w:rPr>
      <w:rFonts w:ascii="Arial" w:hAnsi="Arial" w:eastAsia="黑体"/>
      <w:b/>
      <w:bCs/>
      <w:kern w:val="2"/>
      <w:sz w:val="32"/>
      <w:szCs w:val="32"/>
      <w:lang w:val="en-US" w:eastAsia="zh-CN" w:bidi="ar-SA"/>
    </w:rPr>
  </w:style>
  <w:style w:type="character" w:customStyle="1" w:styleId="99">
    <w:name w:val="正文2 Char Char"/>
    <w:link w:val="100"/>
    <w:qFormat/>
    <w:uiPriority w:val="0"/>
    <w:rPr>
      <w:kern w:val="2"/>
      <w:sz w:val="24"/>
    </w:rPr>
  </w:style>
  <w:style w:type="paragraph" w:customStyle="1" w:styleId="100">
    <w:name w:val="正文2"/>
    <w:basedOn w:val="1"/>
    <w:link w:val="99"/>
    <w:qFormat/>
    <w:uiPriority w:val="0"/>
    <w:pPr>
      <w:adjustRightInd w:val="0"/>
      <w:spacing w:before="156" w:line="360" w:lineRule="auto"/>
      <w:ind w:firstLine="510" w:firstLineChars="200"/>
    </w:pPr>
    <w:rPr>
      <w:sz w:val="24"/>
    </w:rPr>
  </w:style>
  <w:style w:type="character" w:customStyle="1" w:styleId="101">
    <w:name w:val="番茄花园"/>
    <w:qFormat/>
    <w:uiPriority w:val="0"/>
    <w:rPr>
      <w:rFonts w:ascii="Arial" w:hAnsi="Arial" w:eastAsia="宋体" w:cs="Arial"/>
      <w:color w:val="000080"/>
      <w:sz w:val="18"/>
      <w:szCs w:val="20"/>
    </w:rPr>
  </w:style>
  <w:style w:type="character" w:customStyle="1" w:styleId="102">
    <w:name w:val="尾注文本 Char"/>
    <w:link w:val="36"/>
    <w:qFormat/>
    <w:uiPriority w:val="0"/>
    <w:rPr>
      <w:rFonts w:ascii="仿宋_GB2312" w:eastAsia="仿宋_GB2312"/>
      <w:kern w:val="2"/>
      <w:sz w:val="28"/>
      <w:szCs w:val="28"/>
      <w:lang w:val="en-US" w:eastAsia="zh-CN" w:bidi="ar-SA"/>
    </w:rPr>
  </w:style>
  <w:style w:type="character" w:customStyle="1" w:styleId="103">
    <w:name w:val="bulletintext1"/>
    <w:qFormat/>
    <w:uiPriority w:val="0"/>
    <w:rPr>
      <w:color w:val="000000"/>
      <w:sz w:val="18"/>
      <w:szCs w:val="18"/>
    </w:rPr>
  </w:style>
  <w:style w:type="character" w:customStyle="1" w:styleId="104">
    <w:name w:val="ca-10"/>
    <w:basedOn w:val="63"/>
    <w:qFormat/>
    <w:uiPriority w:val="0"/>
  </w:style>
  <w:style w:type="character" w:customStyle="1" w:styleId="105">
    <w:name w:val="style321"/>
    <w:qFormat/>
    <w:uiPriority w:val="0"/>
    <w:rPr>
      <w:b/>
      <w:bCs/>
      <w:color w:val="FF9900"/>
      <w:sz w:val="23"/>
      <w:szCs w:val="23"/>
    </w:rPr>
  </w:style>
  <w:style w:type="character" w:customStyle="1" w:styleId="106">
    <w:name w:val="Heading 3 - old Char"/>
    <w:qFormat/>
    <w:uiPriority w:val="0"/>
    <w:rPr>
      <w:rFonts w:ascii="Calibri" w:hAnsi="Calibri"/>
      <w:b/>
      <w:bCs/>
      <w:kern w:val="2"/>
      <w:sz w:val="32"/>
      <w:szCs w:val="32"/>
    </w:rPr>
  </w:style>
  <w:style w:type="character" w:customStyle="1" w:styleId="107">
    <w:name w:val="普通文字 Char Char8"/>
    <w:qFormat/>
    <w:uiPriority w:val="0"/>
    <w:rPr>
      <w:rFonts w:ascii="宋体" w:hAnsi="Courier New" w:eastAsia="宋体"/>
    </w:rPr>
  </w:style>
  <w:style w:type="character" w:customStyle="1" w:styleId="108">
    <w:name w:val="正文文本 Char"/>
    <w:qFormat/>
    <w:uiPriority w:val="0"/>
    <w:rPr>
      <w:rFonts w:ascii="仿宋_GB2312" w:hAnsi="Times New Roman" w:eastAsia="仿宋_GB2312" w:cs="Times New Roman"/>
      <w:sz w:val="28"/>
      <w:szCs w:val="28"/>
    </w:rPr>
  </w:style>
  <w:style w:type="character" w:customStyle="1" w:styleId="109">
    <w:name w:val="正文文本缩进 3 Char"/>
    <w:link w:val="47"/>
    <w:qFormat/>
    <w:uiPriority w:val="0"/>
    <w:rPr>
      <w:rFonts w:ascii="隶书" w:hAnsi="宋体" w:eastAsia="隶书"/>
      <w:kern w:val="2"/>
      <w:sz w:val="21"/>
      <w:szCs w:val="24"/>
      <w:lang w:val="en-US" w:eastAsia="zh-CN" w:bidi="ar-SA"/>
    </w:rPr>
  </w:style>
  <w:style w:type="character" w:customStyle="1" w:styleId="110">
    <w:name w:val="正文首行缩进 Char"/>
    <w:link w:val="58"/>
    <w:qFormat/>
    <w:uiPriority w:val="0"/>
    <w:rPr>
      <w:rFonts w:ascii="Calibri" w:hAnsi="Calibri" w:eastAsia="楷体_GB2312"/>
      <w:sz w:val="24"/>
      <w:lang w:bidi="ar-SA"/>
    </w:rPr>
  </w:style>
  <w:style w:type="character" w:customStyle="1" w:styleId="111">
    <w:name w:val="正文文本缩进 Char1"/>
    <w:semiHidden/>
    <w:qFormat/>
    <w:uiPriority w:val="0"/>
    <w:rPr>
      <w:rFonts w:ascii="仿宋_GB2312" w:hAnsi="Times New Roman" w:eastAsia="仿宋_GB2312" w:cs="Times New Roman"/>
      <w:sz w:val="28"/>
      <w:szCs w:val="28"/>
    </w:rPr>
  </w:style>
  <w:style w:type="character" w:customStyle="1" w:styleId="112">
    <w:name w:val="Char Char14"/>
    <w:qFormat/>
    <w:uiPriority w:val="0"/>
    <w:rPr>
      <w:rFonts w:ascii="宋体" w:hAnsi="Courier New" w:eastAsia="宋体"/>
      <w:sz w:val="21"/>
      <w:lang w:val="en-US" w:eastAsia="zh-CN" w:bidi="ar-SA"/>
    </w:rPr>
  </w:style>
  <w:style w:type="character" w:customStyle="1" w:styleId="113">
    <w:name w:val="批注主题 Char"/>
    <w:link w:val="57"/>
    <w:qFormat/>
    <w:uiPriority w:val="0"/>
    <w:rPr>
      <w:rFonts w:eastAsia="宋体"/>
      <w:b/>
      <w:bCs/>
      <w:kern w:val="2"/>
      <w:sz w:val="21"/>
      <w:szCs w:val="24"/>
      <w:lang w:val="en-US" w:eastAsia="zh-CN" w:bidi="ar-SA"/>
    </w:rPr>
  </w:style>
  <w:style w:type="character" w:customStyle="1" w:styleId="114">
    <w:name w:val="EHPT Char3"/>
    <w:qFormat/>
    <w:uiPriority w:val="0"/>
    <w:rPr>
      <w:rFonts w:ascii="Calibri" w:hAnsi="Calibri" w:eastAsia="宋体"/>
    </w:rPr>
  </w:style>
  <w:style w:type="character" w:customStyle="1" w:styleId="115">
    <w:name w:val="Char Char20"/>
    <w:qFormat/>
    <w:uiPriority w:val="0"/>
    <w:rPr>
      <w:rFonts w:ascii="Cambria" w:hAnsi="Cambria" w:eastAsia="宋体" w:cs="Times New Roman"/>
      <w:i/>
      <w:iCs/>
      <w:color w:val="404040"/>
    </w:rPr>
  </w:style>
  <w:style w:type="character" w:customStyle="1" w:styleId="116">
    <w:name w:val="正文文本 3 Char"/>
    <w:link w:val="22"/>
    <w:qFormat/>
    <w:uiPriority w:val="0"/>
    <w:rPr>
      <w:rFonts w:ascii="宋体" w:hAnsi="宋体" w:eastAsia="宋体"/>
      <w:b/>
      <w:bCs/>
      <w:kern w:val="2"/>
      <w:sz w:val="24"/>
      <w:szCs w:val="24"/>
      <w:lang w:val="en-US" w:eastAsia="zh-CN" w:bidi="ar-SA"/>
    </w:rPr>
  </w:style>
  <w:style w:type="character" w:customStyle="1" w:styleId="117">
    <w:name w:val="访问过的超链接1"/>
    <w:qFormat/>
    <w:uiPriority w:val="0"/>
    <w:rPr>
      <w:color w:val="800080"/>
      <w:u w:val="single"/>
    </w:rPr>
  </w:style>
  <w:style w:type="character" w:customStyle="1" w:styleId="118">
    <w:name w:val="标题 3 Char"/>
    <w:link w:val="4"/>
    <w:qFormat/>
    <w:uiPriority w:val="0"/>
    <w:rPr>
      <w:rFonts w:eastAsia="宋体"/>
      <w:b/>
      <w:bCs/>
      <w:kern w:val="2"/>
      <w:sz w:val="32"/>
      <w:szCs w:val="32"/>
      <w:lang w:val="en-US" w:eastAsia="zh-CN" w:bidi="ar-SA"/>
    </w:rPr>
  </w:style>
  <w:style w:type="character" w:customStyle="1" w:styleId="119">
    <w:name w:val="脚注文本 Char"/>
    <w:link w:val="45"/>
    <w:qFormat/>
    <w:uiPriority w:val="0"/>
    <w:rPr>
      <w:rFonts w:ascii="仿宋_GB2312" w:eastAsia="仿宋_GB2312"/>
      <w:kern w:val="2"/>
      <w:sz w:val="18"/>
      <w:szCs w:val="18"/>
      <w:lang w:val="en-US" w:eastAsia="zh-CN" w:bidi="ar-SA"/>
    </w:rPr>
  </w:style>
  <w:style w:type="character" w:customStyle="1" w:styleId="120">
    <w:name w:val="普通文字 Char Char6"/>
    <w:qFormat/>
    <w:uiPriority w:val="0"/>
    <w:rPr>
      <w:rFonts w:ascii="宋体" w:hAnsi="Courier New" w:eastAsia="仿宋_GB2312" w:cs="Times New Roman"/>
      <w:kern w:val="0"/>
      <w:sz w:val="28"/>
      <w:szCs w:val="20"/>
      <w:lang w:val="en-US" w:eastAsia="zh-CN"/>
    </w:rPr>
  </w:style>
  <w:style w:type="character" w:customStyle="1" w:styleId="121">
    <w:name w:val="日期 Char1"/>
    <w:semiHidden/>
    <w:qFormat/>
    <w:uiPriority w:val="0"/>
    <w:rPr>
      <w:rFonts w:ascii="仿宋_GB2312" w:hAnsi="Times New Roman" w:eastAsia="仿宋_GB2312" w:cs="Times New Roman"/>
      <w:sz w:val="28"/>
      <w:szCs w:val="28"/>
    </w:rPr>
  </w:style>
  <w:style w:type="character" w:customStyle="1" w:styleId="122">
    <w:name w:val="font11"/>
    <w:qFormat/>
    <w:uiPriority w:val="0"/>
    <w:rPr>
      <w:rFonts w:hint="eastAsia" w:ascii="楷体_GB2312" w:eastAsia="楷体_GB2312"/>
      <w:color w:val="000000"/>
      <w:sz w:val="21"/>
      <w:szCs w:val="21"/>
      <w:u w:val="none"/>
    </w:rPr>
  </w:style>
  <w:style w:type="character" w:customStyle="1" w:styleId="123">
    <w:name w:val="批注文字 Char1"/>
    <w:link w:val="20"/>
    <w:qFormat/>
    <w:uiPriority w:val="0"/>
    <w:rPr>
      <w:rFonts w:ascii="仿宋_GB2312" w:eastAsia="仿宋_GB2312"/>
      <w:kern w:val="2"/>
      <w:sz w:val="28"/>
      <w:szCs w:val="28"/>
      <w:lang w:val="en-US" w:eastAsia="zh-CN" w:bidi="ar-SA"/>
    </w:rPr>
  </w:style>
  <w:style w:type="character" w:customStyle="1" w:styleId="124">
    <w:name w:val="明显参考1"/>
    <w:qFormat/>
    <w:uiPriority w:val="0"/>
    <w:rPr>
      <w:b/>
      <w:bCs/>
      <w:smallCaps/>
      <w:color w:val="C0504D"/>
      <w:spacing w:val="5"/>
      <w:u w:val="single"/>
    </w:rPr>
  </w:style>
  <w:style w:type="character" w:customStyle="1" w:styleId="125">
    <w:name w:val="bei2"/>
    <w:basedOn w:val="63"/>
    <w:qFormat/>
    <w:uiPriority w:val="0"/>
  </w:style>
  <w:style w:type="character" w:customStyle="1" w:styleId="126">
    <w:name w:val="标题 3 Char Char"/>
    <w:qFormat/>
    <w:uiPriority w:val="0"/>
    <w:rPr>
      <w:rFonts w:ascii="宋体" w:hAnsi="宋体" w:eastAsia="宋体"/>
      <w:color w:val="666666"/>
      <w:kern w:val="2"/>
      <w:sz w:val="28"/>
      <w:szCs w:val="28"/>
      <w:lang w:val="en-US" w:eastAsia="zh-CN" w:bidi="ar-SA"/>
    </w:rPr>
  </w:style>
  <w:style w:type="character" w:customStyle="1" w:styleId="127">
    <w:name w:val="标题 Char1"/>
    <w:qFormat/>
    <w:uiPriority w:val="0"/>
    <w:rPr>
      <w:rFonts w:ascii="Cambria" w:hAnsi="Cambria" w:eastAsia="宋体" w:cs="Times New Roman"/>
      <w:b/>
      <w:bCs/>
      <w:sz w:val="32"/>
      <w:szCs w:val="32"/>
    </w:rPr>
  </w:style>
  <w:style w:type="character" w:customStyle="1" w:styleId="128">
    <w:name w:val="unnamed11"/>
    <w:qFormat/>
    <w:uiPriority w:val="0"/>
    <w:rPr>
      <w:sz w:val="18"/>
      <w:szCs w:val="18"/>
    </w:rPr>
  </w:style>
  <w:style w:type="character" w:customStyle="1" w:styleId="129">
    <w:name w:val="标题 Char"/>
    <w:link w:val="56"/>
    <w:qFormat/>
    <w:uiPriority w:val="0"/>
    <w:rPr>
      <w:rFonts w:ascii="Arial" w:hAnsi="Arial" w:eastAsia="宋体"/>
      <w:b/>
      <w:sz w:val="36"/>
      <w:lang w:eastAsia="en-US" w:bidi="ar-SA"/>
    </w:rPr>
  </w:style>
  <w:style w:type="character" w:customStyle="1" w:styleId="130">
    <w:name w:val="纯文本 Char1"/>
    <w:semiHidden/>
    <w:qFormat/>
    <w:uiPriority w:val="0"/>
    <w:rPr>
      <w:rFonts w:ascii="宋体" w:hAnsi="Courier New" w:eastAsia="宋体" w:cs="Courier New"/>
      <w:szCs w:val="21"/>
    </w:rPr>
  </w:style>
  <w:style w:type="character" w:customStyle="1" w:styleId="131">
    <w:name w:val="页眉 Char"/>
    <w:link w:val="39"/>
    <w:qFormat/>
    <w:uiPriority w:val="0"/>
    <w:rPr>
      <w:rFonts w:eastAsia="宋体"/>
      <w:kern w:val="2"/>
      <w:sz w:val="18"/>
      <w:lang w:val="en-US" w:eastAsia="zh-CN" w:bidi="ar-SA"/>
    </w:rPr>
  </w:style>
  <w:style w:type="character" w:customStyle="1" w:styleId="132">
    <w:name w:val="text9"/>
    <w:basedOn w:val="63"/>
    <w:qFormat/>
    <w:uiPriority w:val="0"/>
  </w:style>
  <w:style w:type="character" w:customStyle="1" w:styleId="133">
    <w:name w:val="标题 8 Char"/>
    <w:link w:val="9"/>
    <w:qFormat/>
    <w:uiPriority w:val="0"/>
    <w:rPr>
      <w:rFonts w:ascii="Arial" w:hAnsi="Arial" w:eastAsia="宋体"/>
      <w:i/>
      <w:kern w:val="2"/>
      <w:sz w:val="28"/>
      <w:szCs w:val="28"/>
      <w:lang w:val="en-US" w:eastAsia="zh-CN" w:bidi="ar-SA"/>
    </w:rPr>
  </w:style>
  <w:style w:type="character" w:customStyle="1" w:styleId="134">
    <w:name w:val="不明显参考1"/>
    <w:qFormat/>
    <w:uiPriority w:val="0"/>
    <w:rPr>
      <w:smallCaps/>
      <w:color w:val="C0504D"/>
      <w:u w:val="single"/>
    </w:rPr>
  </w:style>
  <w:style w:type="character" w:customStyle="1" w:styleId="135">
    <w:name w:val="14normal1"/>
    <w:qFormat/>
    <w:uiPriority w:val="0"/>
    <w:rPr>
      <w:rFonts w:hint="default" w:ascii="ˎ̥" w:hAnsi="ˎ̥"/>
      <w:color w:val="000000"/>
      <w:sz w:val="21"/>
      <w:szCs w:val="21"/>
    </w:rPr>
  </w:style>
  <w:style w:type="character" w:customStyle="1" w:styleId="136">
    <w:name w:val="正文文本缩进 Char2"/>
    <w:link w:val="24"/>
    <w:qFormat/>
    <w:uiPriority w:val="0"/>
    <w:rPr>
      <w:rFonts w:eastAsia="宋体"/>
      <w:kern w:val="2"/>
      <w:sz w:val="28"/>
      <w:szCs w:val="24"/>
      <w:lang w:val="en-US" w:eastAsia="zh-CN" w:bidi="ar-SA"/>
    </w:rPr>
  </w:style>
  <w:style w:type="character" w:customStyle="1" w:styleId="137">
    <w:name w:val="apple-converted-space"/>
    <w:basedOn w:val="63"/>
    <w:qFormat/>
    <w:uiPriority w:val="0"/>
  </w:style>
  <w:style w:type="character" w:customStyle="1" w:styleId="138">
    <w:name w:val="EHPT Char1"/>
    <w:qFormat/>
    <w:uiPriority w:val="0"/>
    <w:rPr>
      <w:rFonts w:ascii="Calibri" w:hAnsi="Calibri" w:eastAsia="宋体"/>
      <w:kern w:val="2"/>
      <w:sz w:val="21"/>
      <w:szCs w:val="22"/>
      <w:lang w:val="en-US" w:eastAsia="zh-CN" w:bidi="ar-SA"/>
    </w:rPr>
  </w:style>
  <w:style w:type="character" w:customStyle="1" w:styleId="139">
    <w:name w:val="正文文本 3 Char1"/>
    <w:semiHidden/>
    <w:qFormat/>
    <w:uiPriority w:val="0"/>
    <w:rPr>
      <w:rFonts w:ascii="仿宋_GB2312" w:hAnsi="Times New Roman" w:eastAsia="仿宋_GB2312" w:cs="Times New Roman"/>
      <w:sz w:val="16"/>
      <w:szCs w:val="16"/>
    </w:rPr>
  </w:style>
  <w:style w:type="character" w:customStyle="1" w:styleId="140">
    <w:name w:val="标题 2 Char"/>
    <w:qFormat/>
    <w:uiPriority w:val="0"/>
    <w:rPr>
      <w:rFonts w:ascii="宋体" w:hAnsi="宋体" w:eastAsia="黑体"/>
      <w:b/>
      <w:bCs/>
      <w:kern w:val="2"/>
      <w:sz w:val="24"/>
      <w:szCs w:val="32"/>
      <w:lang w:val="en-US" w:eastAsia="zh-CN" w:bidi="ar-SA"/>
    </w:rPr>
  </w:style>
  <w:style w:type="character" w:customStyle="1" w:styleId="141">
    <w:name w:val="EHPT Char4"/>
    <w:qFormat/>
    <w:uiPriority w:val="0"/>
    <w:rPr>
      <w:rFonts w:eastAsia="黑体"/>
      <w:b/>
      <w:bCs/>
      <w:spacing w:val="20"/>
      <w:kern w:val="52"/>
      <w:sz w:val="56"/>
      <w:szCs w:val="24"/>
      <w:lang w:val="en-US" w:eastAsia="zh-CN" w:bidi="ar-SA"/>
    </w:rPr>
  </w:style>
  <w:style w:type="character" w:customStyle="1" w:styleId="142">
    <w:name w:val="www序号1) Char"/>
    <w:link w:val="143"/>
    <w:qFormat/>
    <w:uiPriority w:val="0"/>
    <w:rPr>
      <w:rFonts w:eastAsia="宋体"/>
      <w:sz w:val="24"/>
      <w:szCs w:val="24"/>
      <w:lang w:bidi="ar-SA"/>
    </w:rPr>
  </w:style>
  <w:style w:type="paragraph" w:customStyle="1" w:styleId="143">
    <w:name w:val="www序号1)"/>
    <w:basedOn w:val="1"/>
    <w:link w:val="142"/>
    <w:qFormat/>
    <w:uiPriority w:val="0"/>
    <w:pPr>
      <w:tabs>
        <w:tab w:val="left" w:pos="2160"/>
      </w:tabs>
      <w:ind w:left="2160" w:hanging="420"/>
    </w:pPr>
    <w:rPr>
      <w:kern w:val="0"/>
      <w:sz w:val="24"/>
      <w:szCs w:val="24"/>
    </w:rPr>
  </w:style>
  <w:style w:type="character" w:customStyle="1" w:styleId="144">
    <w:name w:val="h1 Char"/>
    <w:qFormat/>
    <w:uiPriority w:val="0"/>
    <w:rPr>
      <w:rFonts w:ascii="Calibri" w:hAnsi="Calibri"/>
      <w:b/>
      <w:bCs/>
      <w:kern w:val="44"/>
      <w:sz w:val="44"/>
      <w:szCs w:val="44"/>
    </w:rPr>
  </w:style>
  <w:style w:type="character" w:customStyle="1" w:styleId="145">
    <w:name w:val="正文文本 Char2"/>
    <w:link w:val="23"/>
    <w:qFormat/>
    <w:uiPriority w:val="0"/>
    <w:rPr>
      <w:rFonts w:eastAsia="黑体"/>
      <w:b/>
      <w:bCs/>
      <w:spacing w:val="20"/>
      <w:kern w:val="52"/>
      <w:sz w:val="56"/>
      <w:szCs w:val="24"/>
      <w:lang w:val="en-US" w:eastAsia="zh-CN" w:bidi="ar-SA"/>
    </w:rPr>
  </w:style>
  <w:style w:type="character" w:customStyle="1" w:styleId="146">
    <w:name w:val="日期 Char"/>
    <w:link w:val="34"/>
    <w:qFormat/>
    <w:uiPriority w:val="0"/>
    <w:rPr>
      <w:rFonts w:eastAsia="宋体"/>
      <w:kern w:val="2"/>
      <w:sz w:val="21"/>
      <w:lang w:val="en-US" w:eastAsia="zh-CN" w:bidi="ar-SA"/>
    </w:rPr>
  </w:style>
  <w:style w:type="character" w:customStyle="1" w:styleId="147">
    <w:name w:val="批注框文本 Char"/>
    <w:link w:val="37"/>
    <w:semiHidden/>
    <w:qFormat/>
    <w:uiPriority w:val="0"/>
    <w:rPr>
      <w:rFonts w:eastAsia="宋体"/>
      <w:kern w:val="2"/>
      <w:sz w:val="18"/>
      <w:szCs w:val="18"/>
      <w:lang w:val="en-US" w:eastAsia="zh-CN" w:bidi="ar-SA"/>
    </w:rPr>
  </w:style>
  <w:style w:type="character" w:customStyle="1" w:styleId="148">
    <w:name w:val="maincontenttable1"/>
    <w:qFormat/>
    <w:uiPriority w:val="0"/>
    <w:rPr>
      <w:sz w:val="18"/>
      <w:szCs w:val="18"/>
    </w:rPr>
  </w:style>
  <w:style w:type="character" w:customStyle="1" w:styleId="149">
    <w:name w:val="引用 Char"/>
    <w:link w:val="150"/>
    <w:qFormat/>
    <w:uiPriority w:val="0"/>
    <w:rPr>
      <w:rFonts w:ascii="Calibri" w:hAnsi="Calibri" w:eastAsia="宋体"/>
      <w:i/>
      <w:iCs/>
      <w:color w:val="000000"/>
      <w:sz w:val="22"/>
      <w:szCs w:val="22"/>
      <w:lang w:val="en-US" w:eastAsia="en-US" w:bidi="en-US"/>
    </w:rPr>
  </w:style>
  <w:style w:type="paragraph" w:customStyle="1" w:styleId="150">
    <w:name w:val="引用1"/>
    <w:basedOn w:val="1"/>
    <w:next w:val="1"/>
    <w:link w:val="149"/>
    <w:qFormat/>
    <w:uiPriority w:val="0"/>
    <w:pPr>
      <w:widowControl/>
      <w:spacing w:after="480" w:line="276" w:lineRule="auto"/>
      <w:jc w:val="left"/>
    </w:pPr>
    <w:rPr>
      <w:rFonts w:ascii="Calibri" w:hAnsi="Calibri"/>
      <w:i/>
      <w:iCs/>
      <w:color w:val="000000"/>
      <w:kern w:val="0"/>
      <w:sz w:val="22"/>
      <w:szCs w:val="22"/>
      <w:lang w:eastAsia="en-US" w:bidi="en-US"/>
    </w:rPr>
  </w:style>
  <w:style w:type="character" w:customStyle="1" w:styleId="151">
    <w:name w:val="页脚 Char"/>
    <w:link w:val="38"/>
    <w:qFormat/>
    <w:uiPriority w:val="0"/>
    <w:rPr>
      <w:rFonts w:eastAsia="宋体"/>
      <w:kern w:val="2"/>
      <w:sz w:val="18"/>
      <w:szCs w:val="18"/>
      <w:lang w:val="en-US" w:eastAsia="zh-CN" w:bidi="ar-SA"/>
    </w:rPr>
  </w:style>
  <w:style w:type="character" w:customStyle="1" w:styleId="152">
    <w:name w:val="明显引用 Char"/>
    <w:link w:val="153"/>
    <w:qFormat/>
    <w:uiPriority w:val="0"/>
    <w:rPr>
      <w:rFonts w:ascii="Calibri" w:hAnsi="Calibri" w:eastAsia="宋体"/>
      <w:b/>
      <w:bCs/>
      <w:i/>
      <w:iCs/>
      <w:color w:val="4F81BD"/>
      <w:sz w:val="22"/>
      <w:szCs w:val="22"/>
      <w:lang w:val="en-US" w:eastAsia="en-US" w:bidi="en-US"/>
    </w:rPr>
  </w:style>
  <w:style w:type="paragraph" w:customStyle="1" w:styleId="153">
    <w:name w:val="明显引用1"/>
    <w:basedOn w:val="1"/>
    <w:next w:val="1"/>
    <w:link w:val="152"/>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54">
    <w:name w:val="文字 Char"/>
    <w:link w:val="155"/>
    <w:qFormat/>
    <w:uiPriority w:val="0"/>
    <w:rPr>
      <w:rFonts w:ascii="宋体" w:hAnsi="宋体" w:eastAsia="宋体"/>
      <w:sz w:val="28"/>
      <w:lang w:bidi="ar-SA"/>
    </w:rPr>
  </w:style>
  <w:style w:type="paragraph" w:customStyle="1" w:styleId="155">
    <w:name w:val="文字"/>
    <w:basedOn w:val="1"/>
    <w:link w:val="154"/>
    <w:qFormat/>
    <w:uiPriority w:val="0"/>
    <w:pPr>
      <w:tabs>
        <w:tab w:val="left" w:pos="8520"/>
      </w:tabs>
      <w:spacing w:line="312" w:lineRule="auto"/>
      <w:ind w:right="-210" w:firstLine="556"/>
    </w:pPr>
    <w:rPr>
      <w:rFonts w:ascii="宋体" w:hAnsi="宋体"/>
      <w:kern w:val="0"/>
      <w:sz w:val="28"/>
    </w:rPr>
  </w:style>
  <w:style w:type="character" w:customStyle="1" w:styleId="156">
    <w:name w:val="ca-3"/>
    <w:basedOn w:val="63"/>
    <w:qFormat/>
    <w:uiPriority w:val="0"/>
  </w:style>
  <w:style w:type="character" w:customStyle="1" w:styleId="157">
    <w:name w:val="表格 Char Char"/>
    <w:link w:val="158"/>
    <w:qFormat/>
    <w:uiPriority w:val="0"/>
    <w:rPr>
      <w:rFonts w:ascii="宋体" w:hAnsi="宋体"/>
      <w:lang w:bidi="ar-SA"/>
    </w:rPr>
  </w:style>
  <w:style w:type="paragraph" w:customStyle="1" w:styleId="158">
    <w:name w:val="表格"/>
    <w:basedOn w:val="1"/>
    <w:link w:val="157"/>
    <w:qFormat/>
    <w:uiPriority w:val="0"/>
    <w:pPr>
      <w:snapToGrid w:val="0"/>
      <w:ind w:firstLine="42" w:firstLineChars="21"/>
    </w:pPr>
    <w:rPr>
      <w:rFonts w:ascii="宋体" w:hAnsi="宋体"/>
      <w:kern w:val="0"/>
      <w:sz w:val="20"/>
    </w:rPr>
  </w:style>
  <w:style w:type="character" w:customStyle="1" w:styleId="159">
    <w:name w:val="正文文本 Char1"/>
    <w:semiHidden/>
    <w:qFormat/>
    <w:uiPriority w:val="0"/>
    <w:rPr>
      <w:rFonts w:ascii="仿宋_GB2312" w:hAnsi="Times New Roman" w:eastAsia="仿宋_GB2312" w:cs="Times New Roman"/>
      <w:sz w:val="28"/>
      <w:szCs w:val="28"/>
    </w:rPr>
  </w:style>
  <w:style w:type="character" w:customStyle="1" w:styleId="160">
    <w:name w:val="不明显强调1"/>
    <w:qFormat/>
    <w:uiPriority w:val="0"/>
    <w:rPr>
      <w:i/>
      <w:iCs/>
      <w:color w:val="808080"/>
    </w:rPr>
  </w:style>
  <w:style w:type="character" w:customStyle="1" w:styleId="161">
    <w:name w:val="正文文本 2 Char"/>
    <w:link w:val="53"/>
    <w:qFormat/>
    <w:uiPriority w:val="0"/>
    <w:rPr>
      <w:rFonts w:eastAsia="宋体"/>
      <w:kern w:val="2"/>
      <w:sz w:val="24"/>
      <w:szCs w:val="24"/>
      <w:lang w:val="en-US" w:eastAsia="zh-CN" w:bidi="ar-SA"/>
    </w:rPr>
  </w:style>
  <w:style w:type="character" w:customStyle="1" w:styleId="162">
    <w:name w:val="ca-9"/>
    <w:basedOn w:val="63"/>
    <w:qFormat/>
    <w:uiPriority w:val="0"/>
  </w:style>
  <w:style w:type="character" w:customStyle="1" w:styleId="163">
    <w:name w:val="文档结构图 Char"/>
    <w:link w:val="19"/>
    <w:qFormat/>
    <w:uiPriority w:val="0"/>
    <w:rPr>
      <w:rFonts w:eastAsia="宋体"/>
      <w:szCs w:val="24"/>
      <w:shd w:val="clear" w:color="auto" w:fill="000080"/>
      <w:lang w:bidi="ar-SA"/>
    </w:rPr>
  </w:style>
  <w:style w:type="character" w:customStyle="1" w:styleId="164">
    <w:name w:val="text1"/>
    <w:qFormat/>
    <w:uiPriority w:val="0"/>
    <w:rPr>
      <w:rFonts w:hint="eastAsia" w:ascii="宋体" w:hAnsi="宋体" w:eastAsia="宋体"/>
      <w:color w:val="000099"/>
      <w:sz w:val="18"/>
      <w:szCs w:val="18"/>
    </w:rPr>
  </w:style>
  <w:style w:type="character" w:customStyle="1" w:styleId="165">
    <w:name w:val="PI Char"/>
    <w:qFormat/>
    <w:uiPriority w:val="0"/>
    <w:rPr>
      <w:rFonts w:ascii="仿宋_GB2312" w:eastAsia="仿宋_GB2312"/>
      <w:kern w:val="2"/>
      <w:sz w:val="28"/>
      <w:szCs w:val="28"/>
      <w:lang w:val="zh-CN" w:eastAsia="zh-CN" w:bidi="ar-SA"/>
    </w:rPr>
  </w:style>
  <w:style w:type="character" w:customStyle="1" w:styleId="166">
    <w:name w:val="font1"/>
    <w:qFormat/>
    <w:uiPriority w:val="0"/>
    <w:rPr>
      <w:color w:val="333333"/>
      <w:sz w:val="18"/>
      <w:szCs w:val="18"/>
      <w:u w:val="none"/>
    </w:rPr>
  </w:style>
  <w:style w:type="character" w:customStyle="1" w:styleId="167">
    <w:name w:val="正文首行缩进 Char1"/>
    <w:basedOn w:val="108"/>
    <w:semiHidden/>
    <w:qFormat/>
    <w:uiPriority w:val="0"/>
  </w:style>
  <w:style w:type="character" w:customStyle="1" w:styleId="168">
    <w:name w:val="large1"/>
    <w:qFormat/>
    <w:uiPriority w:val="0"/>
    <w:rPr>
      <w:rFonts w:hint="eastAsia" w:ascii="宋体" w:hAnsi="宋体" w:eastAsia="宋体"/>
      <w:sz w:val="21"/>
      <w:szCs w:val="21"/>
    </w:rPr>
  </w:style>
  <w:style w:type="character" w:customStyle="1" w:styleId="169">
    <w:name w:val="表正文 Char"/>
    <w:qFormat/>
    <w:uiPriority w:val="0"/>
    <w:rPr>
      <w:rFonts w:ascii="仿宋_GB2312" w:eastAsia="仿宋_GB2312"/>
      <w:kern w:val="2"/>
      <w:sz w:val="28"/>
    </w:rPr>
  </w:style>
  <w:style w:type="character" w:customStyle="1" w:styleId="170">
    <w:name w:val="Heading 2 Hidden Char1"/>
    <w:qFormat/>
    <w:uiPriority w:val="0"/>
    <w:rPr>
      <w:rFonts w:ascii="Arial" w:hAnsi="Arial" w:eastAsia="黑体"/>
      <w:b/>
      <w:bCs/>
      <w:kern w:val="2"/>
      <w:sz w:val="32"/>
      <w:szCs w:val="32"/>
    </w:rPr>
  </w:style>
  <w:style w:type="character" w:customStyle="1" w:styleId="171">
    <w:name w:val="明显强调1"/>
    <w:qFormat/>
    <w:uiPriority w:val="0"/>
    <w:rPr>
      <w:b/>
      <w:bCs/>
      <w:i/>
      <w:iCs/>
      <w:color w:val="4F81BD"/>
    </w:rPr>
  </w:style>
  <w:style w:type="character" w:customStyle="1" w:styleId="172">
    <w:name w:val="PI Char2"/>
    <w:qFormat/>
    <w:uiPriority w:val="0"/>
    <w:rPr>
      <w:rFonts w:ascii="仿宋_GB2312" w:eastAsia="仿宋_GB2312"/>
      <w:kern w:val="2"/>
      <w:sz w:val="28"/>
      <w:szCs w:val="28"/>
      <w:lang w:val="zh-CN" w:eastAsia="zh-CN" w:bidi="ar-SA"/>
    </w:rPr>
  </w:style>
  <w:style w:type="character" w:customStyle="1" w:styleId="173">
    <w:name w:val="正文文本缩进 3 Char1"/>
    <w:semiHidden/>
    <w:qFormat/>
    <w:uiPriority w:val="0"/>
    <w:rPr>
      <w:rFonts w:ascii="仿宋_GB2312" w:hAnsi="Times New Roman" w:eastAsia="仿宋_GB2312" w:cs="Times New Roman"/>
      <w:sz w:val="16"/>
      <w:szCs w:val="16"/>
    </w:rPr>
  </w:style>
  <w:style w:type="character" w:customStyle="1" w:styleId="174">
    <w:name w:val="font21"/>
    <w:qFormat/>
    <w:uiPriority w:val="0"/>
    <w:rPr>
      <w:rFonts w:hint="eastAsia" w:ascii="楷体_GB2312" w:eastAsia="楷体_GB2312"/>
      <w:color w:val="000000"/>
      <w:sz w:val="21"/>
      <w:szCs w:val="21"/>
      <w:u w:val="single"/>
    </w:rPr>
  </w:style>
  <w:style w:type="character" w:customStyle="1" w:styleId="175">
    <w:name w:val="正文文本缩进 2 Char"/>
    <w:link w:val="35"/>
    <w:semiHidden/>
    <w:qFormat/>
    <w:uiPriority w:val="0"/>
    <w:rPr>
      <w:rFonts w:eastAsia="宋体"/>
      <w:kern w:val="2"/>
      <w:sz w:val="24"/>
      <w:szCs w:val="21"/>
      <w:lang w:val="en-US" w:eastAsia="zh-CN" w:bidi="ar-SA"/>
    </w:rPr>
  </w:style>
  <w:style w:type="character" w:customStyle="1" w:styleId="176">
    <w:name w:val="Char Char19"/>
    <w:qFormat/>
    <w:uiPriority w:val="0"/>
    <w:rPr>
      <w:rFonts w:ascii="Cambria" w:hAnsi="Cambria" w:eastAsia="宋体" w:cs="Times New Roman"/>
      <w:color w:val="4F81BD"/>
      <w:sz w:val="20"/>
      <w:szCs w:val="20"/>
    </w:rPr>
  </w:style>
  <w:style w:type="character" w:customStyle="1" w:styleId="177">
    <w:name w:val="Char Char4"/>
    <w:qFormat/>
    <w:uiPriority w:val="0"/>
    <w:rPr>
      <w:rFonts w:ascii="仿宋_GB2312" w:eastAsia="仿宋_GB2312"/>
      <w:kern w:val="2"/>
      <w:sz w:val="28"/>
      <w:szCs w:val="28"/>
      <w:lang w:val="zh-CN" w:eastAsia="zh-CN" w:bidi="ar-SA"/>
    </w:rPr>
  </w:style>
  <w:style w:type="character" w:customStyle="1" w:styleId="178">
    <w:name w:val="普通文字 Char Char4"/>
    <w:qFormat/>
    <w:uiPriority w:val="0"/>
    <w:rPr>
      <w:rFonts w:ascii="宋体" w:hAnsi="Courier New" w:eastAsia="宋体"/>
      <w:sz w:val="21"/>
      <w:lang w:val="en-US" w:eastAsia="zh-CN" w:bidi="ar-SA"/>
    </w:rPr>
  </w:style>
  <w:style w:type="character" w:customStyle="1" w:styleId="179">
    <w:name w:val="正文文本 2 Char1"/>
    <w:semiHidden/>
    <w:qFormat/>
    <w:uiPriority w:val="0"/>
    <w:rPr>
      <w:rFonts w:ascii="仿宋_GB2312" w:hAnsi="Times New Roman" w:eastAsia="仿宋_GB2312" w:cs="Times New Roman"/>
      <w:sz w:val="28"/>
      <w:szCs w:val="28"/>
    </w:rPr>
  </w:style>
  <w:style w:type="character" w:customStyle="1" w:styleId="180">
    <w:name w:val="标题 6 Char"/>
    <w:link w:val="7"/>
    <w:qFormat/>
    <w:uiPriority w:val="0"/>
    <w:rPr>
      <w:rFonts w:ascii="Arial" w:hAnsi="Arial" w:eastAsia="仿宋_GB2312"/>
      <w:i/>
      <w:sz w:val="22"/>
      <w:lang w:val="en-US" w:eastAsia="zh-CN" w:bidi="ar-SA"/>
    </w:rPr>
  </w:style>
  <w:style w:type="character" w:customStyle="1" w:styleId="181">
    <w:name w:val="H5 Char"/>
    <w:qFormat/>
    <w:uiPriority w:val="0"/>
    <w:rPr>
      <w:rFonts w:ascii="Arial" w:hAnsi="Arial"/>
      <w:sz w:val="22"/>
    </w:rPr>
  </w:style>
  <w:style w:type="character" w:customStyle="1" w:styleId="182">
    <w:name w:val="标题 5 Char"/>
    <w:link w:val="6"/>
    <w:qFormat/>
    <w:uiPriority w:val="0"/>
    <w:rPr>
      <w:rFonts w:ascii="Arial" w:hAnsi="Arial" w:eastAsia="宋体"/>
      <w:kern w:val="2"/>
      <w:sz w:val="22"/>
      <w:szCs w:val="28"/>
      <w:lang w:val="en-US" w:eastAsia="zh-CN" w:bidi="ar-SA"/>
    </w:rPr>
  </w:style>
  <w:style w:type="character" w:customStyle="1" w:styleId="183">
    <w:name w:val="EHPT Char2"/>
    <w:qFormat/>
    <w:uiPriority w:val="0"/>
    <w:rPr>
      <w:rFonts w:ascii="Calibri" w:hAnsi="Calibri"/>
      <w:kern w:val="2"/>
      <w:sz w:val="21"/>
      <w:szCs w:val="22"/>
    </w:rPr>
  </w:style>
  <w:style w:type="character" w:customStyle="1" w:styleId="184">
    <w:name w:val="标题 7 Char"/>
    <w:link w:val="8"/>
    <w:qFormat/>
    <w:uiPriority w:val="0"/>
    <w:rPr>
      <w:rFonts w:ascii="Arial" w:hAnsi="Arial" w:eastAsia="宋体"/>
      <w:kern w:val="2"/>
      <w:sz w:val="28"/>
      <w:szCs w:val="28"/>
      <w:lang w:val="en-US" w:eastAsia="zh-CN" w:bidi="ar-SA"/>
    </w:rPr>
  </w:style>
  <w:style w:type="character" w:customStyle="1" w:styleId="185">
    <w:name w:val="EmailStyle191"/>
    <w:semiHidden/>
    <w:qFormat/>
    <w:uiPriority w:val="0"/>
    <w:rPr>
      <w:rFonts w:ascii="Arial" w:hAnsi="Arial" w:eastAsia="宋体" w:cs="Arial"/>
      <w:color w:val="000080"/>
      <w:sz w:val="18"/>
      <w:szCs w:val="20"/>
    </w:rPr>
  </w:style>
  <w:style w:type="character" w:customStyle="1" w:styleId="186">
    <w:name w:val="标题 4 Char"/>
    <w:link w:val="5"/>
    <w:qFormat/>
    <w:uiPriority w:val="0"/>
    <w:rPr>
      <w:rFonts w:ascii="Cambria" w:hAnsi="Cambria" w:eastAsia="宋体"/>
      <w:b/>
      <w:bCs/>
      <w:kern w:val="2"/>
      <w:sz w:val="28"/>
      <w:szCs w:val="28"/>
      <w:lang w:val="en-US" w:eastAsia="zh-CN" w:bidi="ar-SA"/>
    </w:rPr>
  </w:style>
  <w:style w:type="character" w:customStyle="1" w:styleId="187">
    <w:name w:val="页脚 Char1"/>
    <w:semiHidden/>
    <w:qFormat/>
    <w:uiPriority w:val="0"/>
    <w:rPr>
      <w:rFonts w:ascii="仿宋_GB2312" w:hAnsi="Times New Roman" w:eastAsia="仿宋_GB2312" w:cs="Times New Roman"/>
      <w:sz w:val="18"/>
      <w:szCs w:val="18"/>
    </w:rPr>
  </w:style>
  <w:style w:type="character" w:customStyle="1" w:styleId="188">
    <w:name w:val="标书正文格式 Char"/>
    <w:link w:val="189"/>
    <w:qFormat/>
    <w:uiPriority w:val="0"/>
    <w:rPr>
      <w:rFonts w:ascii="楷体_GB2312" w:eastAsia="楷体_GB2312"/>
      <w:color w:val="000000"/>
      <w:kern w:val="2"/>
      <w:sz w:val="24"/>
      <w:szCs w:val="24"/>
      <w:lang w:val="en-US" w:eastAsia="zh-CN" w:bidi="ar-SA"/>
    </w:rPr>
  </w:style>
  <w:style w:type="paragraph" w:customStyle="1" w:styleId="189">
    <w:name w:val="标书正文格式"/>
    <w:link w:val="188"/>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190">
    <w:name w:val="小四缩进"/>
    <w:basedOn w:val="1"/>
    <w:qFormat/>
    <w:uiPriority w:val="0"/>
    <w:pPr>
      <w:spacing w:line="360" w:lineRule="auto"/>
      <w:ind w:firstLine="480" w:firstLineChars="200"/>
    </w:pPr>
    <w:rPr>
      <w:sz w:val="24"/>
      <w:szCs w:val="24"/>
    </w:rPr>
  </w:style>
  <w:style w:type="paragraph" w:customStyle="1" w:styleId="191">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192">
    <w:name w:val="Level 2: 1."/>
    <w:qFormat/>
    <w:uiPriority w:val="0"/>
    <w:pPr>
      <w:numPr>
        <w:ilvl w:val="4"/>
        <w:numId w:val="1"/>
      </w:numPr>
      <w:tabs>
        <w:tab w:val="left" w:pos="720"/>
      </w:tabs>
      <w:spacing w:before="72" w:after="72"/>
      <w:jc w:val="both"/>
      <w:outlineLvl w:val="4"/>
    </w:pPr>
    <w:rPr>
      <w:rFonts w:ascii="Arial" w:hAnsi="Arial" w:eastAsia="宋体" w:cs="Times New Roman"/>
      <w:lang w:val="en-US" w:eastAsia="en-US" w:bidi="ar-SA"/>
    </w:rPr>
  </w:style>
  <w:style w:type="paragraph" w:customStyle="1" w:styleId="193">
    <w:name w:val="1.1.1.1Heading3"/>
    <w:basedOn w:val="4"/>
    <w:qFormat/>
    <w:uiPriority w:val="0"/>
    <w:pPr>
      <w:keepLines w:val="0"/>
      <w:widowControl/>
      <w:numPr>
        <w:ilvl w:val="2"/>
        <w:numId w:val="4"/>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194">
    <w:name w:val="RFI List 2"/>
    <w:basedOn w:val="195"/>
    <w:qFormat/>
    <w:uiPriority w:val="0"/>
    <w:pPr>
      <w:numPr>
        <w:ilvl w:val="0"/>
        <w:numId w:val="5"/>
      </w:numPr>
      <w:tabs>
        <w:tab w:val="left" w:pos="360"/>
        <w:tab w:val="left" w:pos="720"/>
        <w:tab w:val="left" w:pos="1800"/>
      </w:tabs>
      <w:ind w:left="720" w:hanging="720"/>
    </w:pPr>
    <w:rPr>
      <w:rFonts w:eastAsia="Times New Roman"/>
      <w:b w:val="0"/>
      <w:bCs/>
    </w:rPr>
  </w:style>
  <w:style w:type="paragraph" w:customStyle="1" w:styleId="195">
    <w:name w:val="RFI List 1"/>
    <w:basedOn w:val="196"/>
    <w:qFormat/>
    <w:uiPriority w:val="0"/>
    <w:pPr>
      <w:tabs>
        <w:tab w:val="left" w:pos="360"/>
        <w:tab w:val="left" w:pos="720"/>
        <w:tab w:val="left" w:pos="1800"/>
      </w:tabs>
      <w:spacing w:before="240" w:after="160"/>
      <w:ind w:left="720" w:hanging="720"/>
      <w:outlineLvl w:val="0"/>
    </w:pPr>
    <w:rPr>
      <w:b/>
      <w:color w:val="auto"/>
    </w:rPr>
  </w:style>
  <w:style w:type="paragraph" w:customStyle="1" w:styleId="196">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97">
    <w:name w:val="1 Char Char Char Char"/>
    <w:basedOn w:val="1"/>
    <w:qFormat/>
    <w:uiPriority w:val="0"/>
    <w:rPr>
      <w:rFonts w:ascii="Tahoma" w:hAnsi="Tahoma"/>
      <w:sz w:val="24"/>
    </w:rPr>
  </w:style>
  <w:style w:type="paragraph" w:customStyle="1" w:styleId="198">
    <w:name w:val="正文无缩进"/>
    <w:basedOn w:val="199"/>
    <w:qFormat/>
    <w:uiPriority w:val="0"/>
    <w:pPr>
      <w:ind w:firstLine="0" w:firstLineChars="0"/>
    </w:pPr>
  </w:style>
  <w:style w:type="paragraph" w:customStyle="1" w:styleId="19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0">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01">
    <w:name w:val="Style Body Text Indent 2 + 11 pt Line spacing:  1.5 lines"/>
    <w:basedOn w:val="35"/>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02">
    <w:name w:val="Level 4: (i)"/>
    <w:basedOn w:val="1"/>
    <w:qFormat/>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203">
    <w:name w:val="Char Char1 Char Char"/>
    <w:basedOn w:val="1"/>
    <w:semiHidden/>
    <w:qFormat/>
    <w:uiPriority w:val="0"/>
    <w:rPr>
      <w:rFonts w:ascii="仿宋_GB2312" w:eastAsia="仿宋_GB2312"/>
      <w:sz w:val="28"/>
      <w:szCs w:val="28"/>
    </w:rPr>
  </w:style>
  <w:style w:type="paragraph" w:customStyle="1" w:styleId="204">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05">
    <w:name w:val="Char1 Char Char Char"/>
    <w:basedOn w:val="1"/>
    <w:qFormat/>
    <w:uiPriority w:val="0"/>
    <w:pPr>
      <w:ind w:left="420" w:hanging="420"/>
    </w:pPr>
    <w:rPr>
      <w:rFonts w:ascii="仿宋_GB2312" w:eastAsia="仿宋_GB2312"/>
      <w:sz w:val="24"/>
      <w:szCs w:val="28"/>
    </w:rPr>
  </w:style>
  <w:style w:type="paragraph" w:customStyle="1" w:styleId="206">
    <w:name w:val="RFI text from 3rd Level"/>
    <w:basedOn w:val="207"/>
    <w:qFormat/>
    <w:uiPriority w:val="0"/>
    <w:pPr>
      <w:tabs>
        <w:tab w:val="left" w:pos="360"/>
        <w:tab w:val="left" w:pos="720"/>
        <w:tab w:val="left" w:pos="1080"/>
      </w:tabs>
    </w:pPr>
    <w:rPr>
      <w:b w:val="0"/>
      <w:lang w:eastAsia="zh-CN"/>
    </w:rPr>
  </w:style>
  <w:style w:type="paragraph" w:customStyle="1" w:styleId="207">
    <w:name w:val="RFI text from 2nd Level"/>
    <w:basedOn w:val="196"/>
    <w:qFormat/>
    <w:uiPriority w:val="0"/>
    <w:pPr>
      <w:tabs>
        <w:tab w:val="left" w:pos="360"/>
      </w:tabs>
      <w:ind w:left="720"/>
    </w:pPr>
    <w:rPr>
      <w:b/>
      <w:bCs/>
      <w:color w:val="auto"/>
    </w:rPr>
  </w:style>
  <w:style w:type="paragraph" w:customStyle="1" w:styleId="208">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09">
    <w:name w:val="p0"/>
    <w:basedOn w:val="1"/>
    <w:qFormat/>
    <w:uiPriority w:val="0"/>
    <w:pPr>
      <w:widowControl/>
    </w:pPr>
    <w:rPr>
      <w:rFonts w:ascii="仿宋_GB2312" w:hAnsi="宋体" w:eastAsia="仿宋_GB2312" w:cs="宋体"/>
      <w:kern w:val="0"/>
      <w:sz w:val="28"/>
      <w:szCs w:val="28"/>
    </w:rPr>
  </w:style>
  <w:style w:type="paragraph" w:customStyle="1" w:styleId="210">
    <w:name w:val="项目1"/>
    <w:basedOn w:val="14"/>
    <w:next w:val="14"/>
    <w:qFormat/>
    <w:uiPriority w:val="0"/>
    <w:pPr>
      <w:widowControl w:val="0"/>
      <w:numPr>
        <w:ilvl w:val="3"/>
        <w:numId w:val="6"/>
      </w:numPr>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11">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12">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13">
    <w:name w:val="Char Char Char Char Char Char Char Char Char Char"/>
    <w:basedOn w:val="1"/>
    <w:qFormat/>
    <w:uiPriority w:val="0"/>
    <w:rPr>
      <w:rFonts w:ascii="Tahoma" w:hAnsi="Tahoma"/>
      <w:sz w:val="24"/>
    </w:rPr>
  </w:style>
  <w:style w:type="paragraph" w:customStyle="1" w:styleId="214">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215">
    <w:name w:val="正文缩进6格"/>
    <w:basedOn w:val="216"/>
    <w:qFormat/>
    <w:uiPriority w:val="0"/>
    <w:pPr>
      <w:ind w:left="1758" w:leftChars="854"/>
    </w:pPr>
  </w:style>
  <w:style w:type="paragraph" w:customStyle="1" w:styleId="216">
    <w:name w:val="正文缩进4格"/>
    <w:basedOn w:val="199"/>
    <w:qFormat/>
    <w:uiPriority w:val="0"/>
    <w:pPr>
      <w:ind w:left="651" w:leftChars="310" w:firstLine="608" w:firstLineChars="196"/>
    </w:pPr>
    <w:rPr>
      <w:color w:val="000000"/>
    </w:rPr>
  </w:style>
  <w:style w:type="paragraph" w:customStyle="1" w:styleId="217">
    <w:name w:val="Char Char2 Char Char"/>
    <w:basedOn w:val="19"/>
    <w:qFormat/>
    <w:uiPriority w:val="0"/>
    <w:pPr>
      <w:spacing w:line="436" w:lineRule="exact"/>
    </w:pPr>
    <w:rPr>
      <w:rFonts w:ascii="Tahoma" w:hAnsi="Tahoma"/>
      <w:kern w:val="2"/>
      <w:sz w:val="24"/>
      <w:szCs w:val="20"/>
      <w:shd w:val="clear" w:color="auto" w:fill="auto"/>
    </w:rPr>
  </w:style>
  <w:style w:type="paragraph" w:customStyle="1" w:styleId="218">
    <w:name w:val="Head1"/>
    <w:qFormat/>
    <w:uiPriority w:val="0"/>
    <w:pPr>
      <w:numPr>
        <w:ilvl w:val="1"/>
        <w:numId w:val="1"/>
      </w:numPr>
      <w:pBdr>
        <w:top w:val="single" w:color="auto" w:sz="6" w:space="1"/>
      </w:pBdr>
      <w:tabs>
        <w:tab w:val="left" w:pos="576"/>
      </w:tabs>
      <w:spacing w:before="28" w:after="28"/>
      <w:outlineLvl w:val="1"/>
    </w:pPr>
    <w:rPr>
      <w:rFonts w:ascii="Arial" w:hAnsi="Arial" w:eastAsia="宋体" w:cs="Times New Roman"/>
      <w:b/>
      <w:sz w:val="22"/>
      <w:lang w:val="en-US" w:eastAsia="en-US" w:bidi="ar-SA"/>
    </w:rPr>
  </w:style>
  <w:style w:type="paragraph" w:customStyle="1" w:styleId="219">
    <w:name w:val="标题 3.5"/>
    <w:basedOn w:val="4"/>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20">
    <w:name w:val="Achievement"/>
    <w:basedOn w:val="23"/>
    <w:qFormat/>
    <w:uiPriority w:val="0"/>
    <w:pPr>
      <w:widowControl/>
      <w:numPr>
        <w:ilvl w:val="0"/>
        <w:numId w:val="7"/>
      </w:numPr>
      <w:spacing w:after="60" w:line="220" w:lineRule="atLeast"/>
    </w:pPr>
    <w:rPr>
      <w:rFonts w:ascii="Arial" w:hAnsi="Arial" w:eastAsia="宋体"/>
      <w:b w:val="0"/>
      <w:bCs w:val="0"/>
      <w:spacing w:val="-5"/>
      <w:kern w:val="0"/>
      <w:sz w:val="20"/>
      <w:szCs w:val="20"/>
    </w:rPr>
  </w:style>
  <w:style w:type="paragraph" w:customStyle="1" w:styleId="221">
    <w:name w:val="列出段落1"/>
    <w:basedOn w:val="1"/>
    <w:qFormat/>
    <w:uiPriority w:val="0"/>
    <w:pPr>
      <w:ind w:firstLine="420" w:firstLineChars="200"/>
    </w:pPr>
    <w:rPr>
      <w:szCs w:val="24"/>
    </w:rPr>
  </w:style>
  <w:style w:type="paragraph" w:customStyle="1" w:styleId="222">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23">
    <w:name w:val="Char"/>
    <w:basedOn w:val="1"/>
    <w:qFormat/>
    <w:uiPriority w:val="0"/>
    <w:rPr>
      <w:rFonts w:ascii="仿宋_GB2312" w:eastAsia="仿宋_GB2312"/>
      <w:sz w:val="28"/>
      <w:szCs w:val="28"/>
    </w:rPr>
  </w:style>
  <w:style w:type="paragraph" w:customStyle="1" w:styleId="224">
    <w:name w:val="Level 3: (a)"/>
    <w:basedOn w:val="1"/>
    <w:qFormat/>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225">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26">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27">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28">
    <w:name w:val="标题 3.1"/>
    <w:basedOn w:val="4"/>
    <w:qFormat/>
    <w:uiPriority w:val="0"/>
    <w:pPr>
      <w:tabs>
        <w:tab w:val="left" w:pos="5614"/>
      </w:tabs>
      <w:spacing w:line="600" w:lineRule="exact"/>
    </w:pPr>
    <w:rPr>
      <w:rFonts w:ascii="仿宋_GB2312"/>
      <w:sz w:val="36"/>
    </w:rPr>
  </w:style>
  <w:style w:type="paragraph" w:customStyle="1" w:styleId="229">
    <w:name w:val="列出段落11"/>
    <w:basedOn w:val="1"/>
    <w:qFormat/>
    <w:uiPriority w:val="0"/>
    <w:pPr>
      <w:ind w:firstLine="420" w:firstLineChars="200"/>
    </w:pPr>
    <w:rPr>
      <w:rFonts w:ascii="Calibri" w:hAnsi="Calibri"/>
      <w:szCs w:val="24"/>
    </w:rPr>
  </w:style>
  <w:style w:type="paragraph" w:customStyle="1" w:styleId="230">
    <w:name w:val="RFI abc 1st Level"/>
    <w:basedOn w:val="1"/>
    <w:qFormat/>
    <w:uiPriority w:val="0"/>
    <w:pPr>
      <w:widowControl/>
      <w:numPr>
        <w:ilvl w:val="0"/>
        <w:numId w:val="8"/>
      </w:numPr>
      <w:tabs>
        <w:tab w:val="left" w:pos="1440"/>
      </w:tabs>
      <w:ind w:left="1440"/>
    </w:pPr>
    <w:rPr>
      <w:rFonts w:ascii="Arial (W1)" w:hAnsi="Arial (W1)" w:eastAsia="仿宋_GB2312"/>
      <w:kern w:val="0"/>
      <w:sz w:val="24"/>
      <w:szCs w:val="28"/>
      <w:lang w:val="en-GB" w:eastAsia="en-US"/>
    </w:rPr>
  </w:style>
  <w:style w:type="paragraph" w:customStyle="1" w:styleId="231">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32">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233">
    <w:name w:val="项目"/>
    <w:basedOn w:val="23"/>
    <w:next w:val="23"/>
    <w:qFormat/>
    <w:uiPriority w:val="0"/>
    <w:pPr>
      <w:numPr>
        <w:ilvl w:val="0"/>
        <w:numId w:val="9"/>
      </w:numPr>
      <w:tabs>
        <w:tab w:val="left" w:pos="420"/>
      </w:tabs>
      <w:spacing w:line="360" w:lineRule="auto"/>
      <w:ind w:left="420"/>
    </w:pPr>
    <w:rPr>
      <w:rFonts w:eastAsia="宋体"/>
      <w:b w:val="0"/>
      <w:bCs w:val="0"/>
      <w:spacing w:val="0"/>
      <w:kern w:val="0"/>
      <w:sz w:val="24"/>
      <w:szCs w:val="20"/>
    </w:rPr>
  </w:style>
  <w:style w:type="paragraph" w:customStyle="1" w:styleId="234">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35">
    <w:name w:val="标题6"/>
    <w:basedOn w:val="1"/>
    <w:next w:val="2"/>
    <w:qFormat/>
    <w:uiPriority w:val="0"/>
    <w:pPr>
      <w:widowControl/>
      <w:snapToGrid w:val="0"/>
      <w:spacing w:beforeLines="50" w:afterLines="50" w:line="520" w:lineRule="atLeast"/>
      <w:ind w:firstLine="200" w:firstLineChars="200"/>
    </w:pPr>
    <w:rPr>
      <w:rFonts w:cs="Arial"/>
      <w:b/>
      <w:sz w:val="24"/>
      <w:szCs w:val="24"/>
    </w:rPr>
  </w:style>
  <w:style w:type="paragraph" w:customStyle="1" w:styleId="236">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37">
    <w:name w:val="Head2"/>
    <w:qFormat/>
    <w:uiPriority w:val="0"/>
    <w:pPr>
      <w:numPr>
        <w:ilvl w:val="2"/>
        <w:numId w:val="1"/>
      </w:numPr>
      <w:tabs>
        <w:tab w:val="left" w:pos="576"/>
      </w:tabs>
      <w:spacing w:before="28" w:after="28"/>
      <w:outlineLvl w:val="2"/>
    </w:pPr>
    <w:rPr>
      <w:rFonts w:ascii="Arial" w:hAnsi="Arial" w:eastAsia="宋体" w:cs="Times New Roman"/>
      <w:b/>
      <w:lang w:val="en-US" w:eastAsia="en-US" w:bidi="ar-SA"/>
    </w:rPr>
  </w:style>
  <w:style w:type="paragraph" w:customStyle="1" w:styleId="238">
    <w:name w:val="BodyText"/>
    <w:basedOn w:val="1"/>
    <w:uiPriority w:val="0"/>
    <w:pPr>
      <w:widowControl/>
      <w:spacing w:after="120"/>
      <w:jc w:val="left"/>
    </w:pPr>
    <w:rPr>
      <w:rFonts w:ascii="FuturaA Bk BT" w:hAnsi="FuturaA Bk BT" w:eastAsia="仿宋_GB2312"/>
      <w:kern w:val="0"/>
      <w:sz w:val="20"/>
    </w:rPr>
  </w:style>
  <w:style w:type="paragraph" w:customStyle="1" w:styleId="239">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40">
    <w:name w:val="Char11"/>
    <w:basedOn w:val="1"/>
    <w:qFormat/>
    <w:uiPriority w:val="0"/>
    <w:rPr>
      <w:rFonts w:ascii="仿宋_GB2312" w:eastAsia="仿宋_GB2312"/>
      <w:b/>
      <w:sz w:val="32"/>
      <w:szCs w:val="32"/>
    </w:rPr>
  </w:style>
  <w:style w:type="paragraph" w:customStyle="1" w:styleId="241">
    <w:name w:val="条目2"/>
    <w:basedOn w:val="31"/>
    <w:qFormat/>
    <w:uiPriority w:val="0"/>
    <w:pPr>
      <w:numPr>
        <w:ilvl w:val="0"/>
        <w:numId w:val="10"/>
      </w:numPr>
      <w:tabs>
        <w:tab w:val="left" w:pos="420"/>
      </w:tabs>
      <w:spacing w:line="360" w:lineRule="auto"/>
    </w:pPr>
    <w:rPr>
      <w:rFonts w:cs="Courier New"/>
      <w:color w:val="000000"/>
      <w:sz w:val="24"/>
      <w:szCs w:val="21"/>
    </w:rPr>
  </w:style>
  <w:style w:type="paragraph" w:customStyle="1" w:styleId="242">
    <w:name w:val="样式1"/>
    <w:basedOn w:val="3"/>
    <w:qFormat/>
    <w:uiPriority w:val="0"/>
    <w:pPr>
      <w:spacing w:line="415" w:lineRule="auto"/>
      <w:jc w:val="center"/>
    </w:pPr>
    <w:rPr>
      <w:rFonts w:ascii="宋体" w:hAnsi="宋体"/>
      <w:sz w:val="36"/>
      <w:szCs w:val="36"/>
    </w:rPr>
  </w:style>
  <w:style w:type="paragraph" w:customStyle="1" w:styleId="243">
    <w:name w:val="p18"/>
    <w:basedOn w:val="1"/>
    <w:uiPriority w:val="0"/>
    <w:pPr>
      <w:widowControl/>
      <w:spacing w:before="156" w:after="156" w:line="400" w:lineRule="atLeast"/>
    </w:pPr>
    <w:rPr>
      <w:rFonts w:ascii="宋体" w:hAnsi="宋体" w:cs="宋体"/>
      <w:kern w:val="0"/>
      <w:sz w:val="24"/>
      <w:szCs w:val="24"/>
    </w:rPr>
  </w:style>
  <w:style w:type="paragraph" w:customStyle="1" w:styleId="244">
    <w:name w:val="Char1 Char Char Char Char Char Char"/>
    <w:basedOn w:val="1"/>
    <w:qFormat/>
    <w:uiPriority w:val="0"/>
    <w:pPr>
      <w:adjustRightInd w:val="0"/>
    </w:pPr>
    <w:rPr>
      <w:rFonts w:ascii="Tahoma" w:hAnsi="Tahoma"/>
      <w:sz w:val="24"/>
    </w:rPr>
  </w:style>
  <w:style w:type="paragraph" w:customStyle="1" w:styleId="245">
    <w:name w:val="Char2"/>
    <w:basedOn w:val="1"/>
    <w:uiPriority w:val="0"/>
    <w:rPr>
      <w:rFonts w:ascii="仿宋_GB2312" w:eastAsia="仿宋_GB2312"/>
      <w:b/>
      <w:sz w:val="32"/>
      <w:szCs w:val="32"/>
    </w:rPr>
  </w:style>
  <w:style w:type="paragraph" w:customStyle="1" w:styleId="246">
    <w:name w:val="Char1"/>
    <w:basedOn w:val="1"/>
    <w:qFormat/>
    <w:uiPriority w:val="0"/>
    <w:rPr>
      <w:rFonts w:ascii="仿宋_GB2312" w:eastAsia="仿宋_GB2312"/>
      <w:b/>
      <w:sz w:val="32"/>
      <w:szCs w:val="32"/>
    </w:rPr>
  </w:style>
  <w:style w:type="paragraph" w:customStyle="1" w:styleId="247">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48">
    <w:name w:val="样式 样式1 + 加粗 行距: 固定值 20 磅"/>
    <w:basedOn w:val="242"/>
    <w:qFormat/>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249">
    <w:name w:val="标题3正文"/>
    <w:basedOn w:val="1"/>
    <w:qFormat/>
    <w:uiPriority w:val="0"/>
    <w:pPr>
      <w:snapToGrid w:val="0"/>
      <w:spacing w:line="360" w:lineRule="auto"/>
      <w:ind w:firstLine="480" w:firstLineChars="200"/>
    </w:pPr>
    <w:rPr>
      <w:sz w:val="24"/>
      <w:szCs w:val="24"/>
    </w:rPr>
  </w:style>
  <w:style w:type="paragraph" w:customStyle="1" w:styleId="250">
    <w:name w:val="简单回函地址"/>
    <w:basedOn w:val="1"/>
    <w:qFormat/>
    <w:uiPriority w:val="0"/>
    <w:rPr>
      <w:rFonts w:ascii="宋体" w:hAnsi="宋体" w:eastAsia="仿宋_GB2312"/>
      <w:color w:val="000000"/>
      <w:sz w:val="28"/>
      <w:szCs w:val="21"/>
    </w:rPr>
  </w:style>
  <w:style w:type="paragraph" w:customStyle="1" w:styleId="251">
    <w:name w:val="正文文本 21"/>
    <w:basedOn w:val="1"/>
    <w:qFormat/>
    <w:uiPriority w:val="0"/>
    <w:pPr>
      <w:adjustRightInd w:val="0"/>
      <w:spacing w:line="300" w:lineRule="auto"/>
      <w:jc w:val="center"/>
    </w:pPr>
    <w:rPr>
      <w:rFonts w:hint="eastAsia" w:ascii="宋体" w:hAnsi="宋体"/>
      <w:sz w:val="24"/>
    </w:rPr>
  </w:style>
  <w:style w:type="paragraph" w:customStyle="1" w:styleId="252">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53">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54">
    <w:name w:val="列出段落2"/>
    <w:basedOn w:val="1"/>
    <w:qFormat/>
    <w:uiPriority w:val="0"/>
    <w:pPr>
      <w:ind w:firstLine="420" w:firstLineChars="200"/>
    </w:pPr>
    <w:rPr>
      <w:rFonts w:ascii="Calibri" w:hAnsi="Calibri" w:eastAsia="仿宋_GB2312"/>
      <w:sz w:val="28"/>
      <w:szCs w:val="22"/>
    </w:rPr>
  </w:style>
  <w:style w:type="paragraph" w:customStyle="1" w:styleId="255">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56">
    <w:name w:val="Char12"/>
    <w:basedOn w:val="1"/>
    <w:qFormat/>
    <w:uiPriority w:val="0"/>
    <w:rPr>
      <w:rFonts w:ascii="Tahoma" w:hAnsi="Tahoma" w:eastAsia="仿宋_GB2312"/>
      <w:sz w:val="24"/>
    </w:rPr>
  </w:style>
  <w:style w:type="paragraph" w:customStyle="1" w:styleId="257">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8">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5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60">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61">
    <w:name w:val="RFI Heading 4th Level"/>
    <w:basedOn w:val="196"/>
    <w:qFormat/>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62">
    <w:name w:val="1.1 Header2"/>
    <w:basedOn w:val="1"/>
    <w:qFormat/>
    <w:uiPriority w:val="0"/>
    <w:pPr>
      <w:widowControl/>
      <w:jc w:val="left"/>
    </w:pPr>
    <w:rPr>
      <w:rFonts w:ascii="宋体" w:hAnsi="宋体" w:eastAsia="仿宋_GB2312"/>
      <w:color w:val="000000"/>
      <w:kern w:val="0"/>
      <w:sz w:val="24"/>
      <w:szCs w:val="21"/>
    </w:rPr>
  </w:style>
  <w:style w:type="paragraph" w:customStyle="1" w:styleId="263">
    <w:name w:val="日期右"/>
    <w:basedOn w:val="34"/>
    <w:qFormat/>
    <w:uiPriority w:val="0"/>
    <w:pPr>
      <w:spacing w:line="600" w:lineRule="exact"/>
      <w:ind w:left="0" w:leftChars="0"/>
      <w:jc w:val="right"/>
    </w:pPr>
    <w:rPr>
      <w:rFonts w:ascii="Calibri" w:hAnsi="Calibri" w:eastAsia="仿宋_GB2312"/>
      <w:sz w:val="31"/>
      <w:szCs w:val="24"/>
    </w:rPr>
  </w:style>
  <w:style w:type="paragraph" w:customStyle="1" w:styleId="264">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265">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66">
    <w:name w:val="Char Char Char Char Char Char Char Char1 Char"/>
    <w:basedOn w:val="1"/>
    <w:qFormat/>
    <w:uiPriority w:val="0"/>
    <w:rPr>
      <w:rFonts w:ascii="仿宋_GB2312" w:eastAsia="仿宋_GB2312"/>
      <w:sz w:val="28"/>
    </w:rPr>
  </w:style>
  <w:style w:type="paragraph" w:customStyle="1" w:styleId="267">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68">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6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0">
    <w:name w:val="标题2正文 Char"/>
    <w:basedOn w:val="1"/>
    <w:qFormat/>
    <w:uiPriority w:val="0"/>
    <w:pPr>
      <w:snapToGrid w:val="0"/>
      <w:spacing w:line="360" w:lineRule="auto"/>
      <w:ind w:firstLine="480" w:firstLineChars="200"/>
    </w:pPr>
    <w:rPr>
      <w:sz w:val="24"/>
      <w:szCs w:val="24"/>
    </w:rPr>
  </w:style>
  <w:style w:type="paragraph" w:customStyle="1" w:styleId="271">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72">
    <w:name w:val="È±Ê¡ÎÄ±¾"/>
    <w:basedOn w:val="1"/>
    <w:qFormat/>
    <w:uiPriority w:val="0"/>
    <w:pPr>
      <w:widowControl/>
      <w:overflowPunct w:val="0"/>
      <w:autoSpaceDE w:val="0"/>
      <w:autoSpaceDN w:val="0"/>
      <w:adjustRightInd w:val="0"/>
      <w:jc w:val="left"/>
    </w:pPr>
    <w:rPr>
      <w:kern w:val="0"/>
      <w:sz w:val="24"/>
    </w:rPr>
  </w:style>
  <w:style w:type="paragraph" w:customStyle="1" w:styleId="273">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74">
    <w:name w:val="文档正文"/>
    <w:basedOn w:val="1"/>
    <w:qFormat/>
    <w:uiPriority w:val="0"/>
    <w:rPr>
      <w:rFonts w:ascii="Arial" w:hAnsi="Arial" w:eastAsia="仿宋_GB2312" w:cs="Arial"/>
      <w:bCs/>
      <w:sz w:val="24"/>
      <w:szCs w:val="28"/>
    </w:rPr>
  </w:style>
  <w:style w:type="paragraph" w:customStyle="1" w:styleId="275">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276">
    <w:name w:val="Style Heading 3 + 11 pt Line spacing:  1.5 lines"/>
    <w:basedOn w:val="4"/>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77">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7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Level 6: (i)"/>
    <w:basedOn w:val="1"/>
    <w:qFormat/>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280">
    <w:name w:val="无间隔1"/>
    <w:qFormat/>
    <w:uiPriority w:val="0"/>
    <w:rPr>
      <w:rFonts w:ascii="Calibri" w:hAnsi="Calibri" w:eastAsia="宋体" w:cs="Times New Roman"/>
      <w:sz w:val="22"/>
      <w:szCs w:val="22"/>
      <w:lang w:val="en-US" w:eastAsia="en-US" w:bidi="en-US"/>
    </w:rPr>
  </w:style>
  <w:style w:type="paragraph" w:customStyle="1" w:styleId="281">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2">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283">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284">
    <w:name w:val="Style Heading 3 + Line spacing:  1.5 lines"/>
    <w:basedOn w:val="4"/>
    <w:qFormat/>
    <w:uiPriority w:val="0"/>
    <w:pPr>
      <w:keepLines w:val="0"/>
      <w:widowControl/>
      <w:numPr>
        <w:ilvl w:val="2"/>
        <w:numId w:val="11"/>
      </w:numPr>
      <w:tabs>
        <w:tab w:val="left" w:pos="1152"/>
        <w:tab w:val="left" w:pos="1680"/>
      </w:tabs>
      <w:spacing w:before="0" w:after="0" w:line="360" w:lineRule="auto"/>
      <w:ind w:left="236" w:leftChars="236"/>
    </w:pPr>
    <w:rPr>
      <w:rFonts w:ascii="仿宋_GB2312" w:eastAsia="黑体"/>
      <w:sz w:val="28"/>
      <w:szCs w:val="28"/>
    </w:rPr>
  </w:style>
  <w:style w:type="paragraph" w:customStyle="1" w:styleId="285">
    <w:name w:val="Char21"/>
    <w:basedOn w:val="1"/>
    <w:qFormat/>
    <w:uiPriority w:val="0"/>
    <w:rPr>
      <w:rFonts w:ascii="仿宋_GB2312" w:eastAsia="仿宋_GB2312"/>
      <w:b/>
      <w:sz w:val="32"/>
      <w:szCs w:val="32"/>
    </w:rPr>
  </w:style>
  <w:style w:type="paragraph" w:customStyle="1" w:styleId="286">
    <w:name w:val="www正文"/>
    <w:basedOn w:val="1"/>
    <w:qFormat/>
    <w:uiPriority w:val="0"/>
    <w:pPr>
      <w:ind w:firstLine="480" w:firstLineChars="200"/>
    </w:pPr>
    <w:rPr>
      <w:rFonts w:ascii="仿宋_GB2312" w:eastAsia="仿宋_GB2312"/>
      <w:sz w:val="24"/>
      <w:szCs w:val="28"/>
    </w:rPr>
  </w:style>
  <w:style w:type="paragraph" w:customStyle="1" w:styleId="287">
    <w:name w:val="标题2正文"/>
    <w:basedOn w:val="1"/>
    <w:qFormat/>
    <w:uiPriority w:val="0"/>
    <w:pPr>
      <w:snapToGrid w:val="0"/>
      <w:spacing w:line="360" w:lineRule="auto"/>
      <w:ind w:firstLine="480" w:firstLineChars="200"/>
    </w:pPr>
    <w:rPr>
      <w:sz w:val="24"/>
      <w:szCs w:val="24"/>
    </w:rPr>
  </w:style>
  <w:style w:type="paragraph" w:customStyle="1" w:styleId="288">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289">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290">
    <w:name w:val="Char1 Char Char Char1"/>
    <w:basedOn w:val="1"/>
    <w:qFormat/>
    <w:uiPriority w:val="0"/>
    <w:pPr>
      <w:ind w:left="420" w:hanging="420"/>
    </w:pPr>
    <w:rPr>
      <w:rFonts w:ascii="仿宋_GB2312" w:eastAsia="仿宋_GB2312"/>
      <w:sz w:val="24"/>
      <w:szCs w:val="28"/>
    </w:rPr>
  </w:style>
  <w:style w:type="paragraph" w:customStyle="1" w:styleId="291">
    <w:name w:val="Level 1: a."/>
    <w:qFormat/>
    <w:uiPriority w:val="0"/>
    <w:pPr>
      <w:numPr>
        <w:ilvl w:val="3"/>
        <w:numId w:val="1"/>
      </w:numPr>
      <w:tabs>
        <w:tab w:val="left" w:pos="360"/>
      </w:tabs>
      <w:spacing w:before="72" w:after="72"/>
      <w:jc w:val="both"/>
      <w:outlineLvl w:val="3"/>
    </w:pPr>
    <w:rPr>
      <w:rFonts w:ascii="Arial" w:hAnsi="Arial" w:eastAsia="宋体" w:cs="Times New Roman"/>
      <w:lang w:val="en-US" w:eastAsia="en-US" w:bidi="ar-SA"/>
    </w:rPr>
  </w:style>
  <w:style w:type="paragraph" w:customStyle="1" w:styleId="292">
    <w:name w:val="1.1.1Head2"/>
    <w:qFormat/>
    <w:uiPriority w:val="0"/>
    <w:pPr>
      <w:numPr>
        <w:ilvl w:val="2"/>
        <w:numId w:val="12"/>
      </w:numPr>
      <w:tabs>
        <w:tab w:val="left" w:pos="2880"/>
      </w:tabs>
      <w:spacing w:before="28" w:after="28"/>
      <w:outlineLvl w:val="2"/>
    </w:pPr>
    <w:rPr>
      <w:rFonts w:ascii="Arial" w:hAnsi="Arial" w:eastAsia="宋体" w:cs="Times New Roman"/>
      <w:b/>
      <w:lang w:val="en-US" w:eastAsia="en-US" w:bidi="ar-SA"/>
    </w:rPr>
  </w:style>
  <w:style w:type="paragraph" w:customStyle="1" w:styleId="293">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94">
    <w:name w:val="Level 5: (1)"/>
    <w:basedOn w:val="1"/>
    <w:qFormat/>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295">
    <w:name w:val="正文段"/>
    <w:basedOn w:val="1"/>
    <w:qFormat/>
    <w:uiPriority w:val="0"/>
    <w:pPr>
      <w:widowControl/>
      <w:snapToGrid w:val="0"/>
      <w:spacing w:afterLines="50"/>
      <w:ind w:firstLine="200" w:firstLineChars="200"/>
    </w:pPr>
    <w:rPr>
      <w:kern w:val="0"/>
      <w:sz w:val="24"/>
    </w:rPr>
  </w:style>
  <w:style w:type="paragraph" w:customStyle="1" w:styleId="296">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97">
    <w:name w:val="Char Char Char Char Char Char Char Char1 Char1"/>
    <w:basedOn w:val="1"/>
    <w:qFormat/>
    <w:uiPriority w:val="0"/>
    <w:rPr>
      <w:rFonts w:ascii="仿宋_GB2312" w:eastAsia="仿宋_GB2312"/>
      <w:sz w:val="28"/>
    </w:rPr>
  </w:style>
  <w:style w:type="paragraph" w:customStyle="1" w:styleId="298">
    <w:name w:val="Table Text"/>
    <w:basedOn w:val="1"/>
    <w:qFormat/>
    <w:uiPriority w:val="0"/>
    <w:pPr>
      <w:widowControl/>
      <w:spacing w:before="60" w:after="60"/>
      <w:jc w:val="left"/>
    </w:pPr>
    <w:rPr>
      <w:kern w:val="0"/>
      <w:szCs w:val="24"/>
    </w:rPr>
  </w:style>
  <w:style w:type="paragraph" w:customStyle="1" w:styleId="299">
    <w:name w:val="Char1 Char Char Char Char Char Char Char Char Char Char Char Char Char Char Char"/>
    <w:basedOn w:val="1"/>
    <w:uiPriority w:val="0"/>
    <w:rPr>
      <w:szCs w:val="24"/>
    </w:rPr>
  </w:style>
  <w:style w:type="paragraph" w:customStyle="1" w:styleId="300">
    <w:name w:val="列出段落3"/>
    <w:basedOn w:val="1"/>
    <w:unhideWhenUsed/>
    <w:qFormat/>
    <w:uiPriority w:val="99"/>
    <w:pPr>
      <w:ind w:firstLine="420" w:firstLineChars="200"/>
    </w:pPr>
  </w:style>
  <w:style w:type="paragraph" w:styleId="30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19E32-D1C8-41B1-A321-952182C4091B}">
  <ds:schemaRefs/>
</ds:datastoreItem>
</file>

<file path=docProps/app.xml><?xml version="1.0" encoding="utf-8"?>
<Properties xmlns="http://schemas.openxmlformats.org/officeDocument/2006/extended-properties" xmlns:vt="http://schemas.openxmlformats.org/officeDocument/2006/docPropsVTypes">
  <Template>Normal</Template>
  <Company>衢州市政府采购中心</Company>
  <Pages>1</Pages>
  <Words>2185</Words>
  <Characters>12456</Characters>
  <Lines>103</Lines>
  <Paragraphs>29</Paragraphs>
  <TotalTime>65</TotalTime>
  <ScaleCrop>false</ScaleCrop>
  <LinksUpToDate>false</LinksUpToDate>
  <CharactersWithSpaces>14612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2019-11-22T02:47:00Z</dcterms:created>
  <dc:creator>W</dc:creator>
  <cp:lastModifiedBy>找的着北</cp:lastModifiedBy>
  <cp:lastPrinted>2021-07-15T01:33:00Z</cp:lastPrinted>
  <dcterms:modified xsi:type="dcterms:W3CDTF">2021-07-21T07:24:02Z</dcterms:modified>
  <dc:title>政府采购招标文件</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751639E41AFB49F091B32B72137D0E51</vt:lpwstr>
  </property>
</Properties>
</file>