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t>关于银行系统供应商库注册和CA申领的通知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</w:p>
    <w:bookmarkEnd w:id="0"/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</w:pPr>
      <w:r>
        <w:rPr>
          <w:rFonts w:hint="eastAsia"/>
          <w:lang w:val="en-US" w:eastAsia="zh-CN"/>
        </w:rPr>
        <w:t xml:space="preserve">   </w:t>
      </w:r>
      <w:r>
        <w:rPr>
          <w:rStyle w:val="5"/>
          <w:rFonts w:ascii="仿宋" w:hAnsi="仿宋" w:eastAsia="仿宋" w:cs="仿宋"/>
          <w:b/>
          <w:color w:val="333333"/>
          <w:sz w:val="31"/>
          <w:szCs w:val="31"/>
          <w:shd w:val="clear" w:fill="FFFFFF"/>
        </w:rPr>
        <w:t>各银行业金融机构(包括所有分支机构)：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ind w:left="0" w:firstLine="645"/>
      </w:pP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为了贯彻落实”最多跑一次”改革，实现省级行政事业单位公款竞争性存放开评标电子化，</w:t>
      </w:r>
      <w:r>
        <w:rPr>
          <w:rStyle w:val="5"/>
          <w:rFonts w:hint="eastAsia" w:ascii="仿宋" w:hAnsi="仿宋" w:eastAsia="仿宋" w:cs="仿宋"/>
          <w:b/>
          <w:color w:val="333333"/>
          <w:sz w:val="31"/>
          <w:szCs w:val="31"/>
          <w:shd w:val="clear" w:fill="FFFFFF"/>
        </w:rPr>
        <w:t>现将银行系统供应商库注册和CA申领扩大至各银行所有分支机构,</w:t>
      </w: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具体相关事项通知如下：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</w:pPr>
      <w:r>
        <w:rPr>
          <w:rFonts w:ascii="黑体" w:hAnsi="宋体" w:eastAsia="黑体" w:cs="黑体"/>
          <w:color w:val="333333"/>
          <w:sz w:val="31"/>
          <w:szCs w:val="31"/>
          <w:shd w:val="clear" w:fill="FFFFFF"/>
        </w:rPr>
        <w:t xml:space="preserve">     </w:t>
      </w: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一、政采云平台供应商注册（已注册的除外）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ind w:left="0" w:firstLine="645"/>
      </w:pP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未进行过政府采购供应商库注册的银行须进行注册。考虑到金融机构的特殊性，根据供应商库注册要求，银行无法提供的部分资料可提交相关声明书加盖公章上传，</w:t>
      </w:r>
      <w:r>
        <w:rPr>
          <w:rStyle w:val="5"/>
          <w:rFonts w:hint="eastAsia" w:ascii="仿宋" w:hAnsi="仿宋" w:eastAsia="仿宋" w:cs="仿宋"/>
          <w:b/>
          <w:color w:val="333333"/>
          <w:sz w:val="31"/>
          <w:szCs w:val="31"/>
          <w:shd w:val="clear" w:fill="FFFFFF"/>
        </w:rPr>
        <w:t>选择提交至浙江省本级审核。</w:t>
      </w: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注册链接如下：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ind w:left="0" w:firstLine="420"/>
      </w:pPr>
      <w:r>
        <w:rPr>
          <w:color w:val="197AFF"/>
          <w:u w:val="none"/>
          <w:shd w:val="clear" w:fill="FFFFFF"/>
        </w:rPr>
        <w:fldChar w:fldCharType="begin"/>
      </w:r>
      <w:r>
        <w:rPr>
          <w:color w:val="197AFF"/>
          <w:u w:val="none"/>
          <w:shd w:val="clear" w:fill="FFFFFF"/>
        </w:rPr>
        <w:instrText xml:space="preserve"> HYPERLINK "https://middle.zcygov.cn/settle-front/" \l "/registry" </w:instrText>
      </w:r>
      <w:r>
        <w:rPr>
          <w:color w:val="197AFF"/>
          <w:u w:val="none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color w:val="197AFF"/>
          <w:sz w:val="31"/>
          <w:szCs w:val="31"/>
          <w:u w:val="none"/>
          <w:shd w:val="clear" w:fill="FFFFFF"/>
        </w:rPr>
        <w:t>https://middle.zcygov.cn/settle-front/#/registry</w:t>
      </w:r>
      <w:r>
        <w:rPr>
          <w:color w:val="197AFF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     二、相关银行业金融机构CA申领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ind w:left="0" w:firstLine="645"/>
      </w:pP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为保证信息传输的保密性、数据交换的完整性、发送信息的不可否认性及对交易者身份的确认，公款竞争性存放网上招标系统实行CA登录，每家银行限领一个CA。CA申请流程及登陆指南链接如下：</w:t>
      </w:r>
      <w:r>
        <w:rPr>
          <w:color w:val="197AFF"/>
          <w:u w:val="none"/>
          <w:shd w:val="clear" w:fill="FFFFFF"/>
        </w:rPr>
        <w:fldChar w:fldCharType="begin"/>
      </w:r>
      <w:r>
        <w:rPr>
          <w:color w:val="197AFF"/>
          <w:u w:val="none"/>
          <w:shd w:val="clear" w:fill="FFFFFF"/>
        </w:rPr>
        <w:instrText xml:space="preserve"> HYPERLINK "https://help.zcygov.cn/web/site_2/2018/11/07/2367.html" </w:instrText>
      </w:r>
      <w:r>
        <w:rPr>
          <w:color w:val="197AFF"/>
          <w:u w:val="none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color w:val="197AFF"/>
          <w:sz w:val="31"/>
          <w:szCs w:val="31"/>
          <w:u w:val="none"/>
          <w:shd w:val="clear" w:fill="FFFFFF"/>
        </w:rPr>
        <w:t>https://help.zcygov.cn/web/site_2/2018/11/07/2367.html</w:t>
      </w:r>
      <w:r>
        <w:rPr>
          <w:color w:val="197AFF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ind w:lef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三、其他事项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ind w:left="0" w:firstLine="645"/>
      </w:pP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政采云平台注册用户、密码以及CA证书应实行专人保管，如有人员调动，应及时办理移交手续。如因保管不善，引起投标等相关信息泄露，后果由银行自行承担。</w:t>
      </w:r>
      <w:r>
        <w:rPr>
          <w:rStyle w:val="5"/>
          <w:rFonts w:hint="eastAsia" w:ascii="仿宋" w:hAnsi="仿宋" w:eastAsia="仿宋" w:cs="仿宋"/>
          <w:b/>
          <w:color w:val="333333"/>
          <w:sz w:val="31"/>
          <w:szCs w:val="31"/>
          <w:shd w:val="clear" w:fill="FFFFFF"/>
        </w:rPr>
        <w:t>请于8月底前完成上述注册和申领事项。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</w:pPr>
      <w:r>
        <w:rPr>
          <w:color w:val="333333"/>
          <w:sz w:val="31"/>
          <w:szCs w:val="31"/>
          <w:shd w:val="clear" w:fill="FFFFFF"/>
        </w:rPr>
        <w:t>  </w:t>
      </w: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四、业务相关联系人和联系电话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</w:pP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浙江省财政厅联系人：周慧坚，联系电话：0571-87056538；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</w:pP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浙江省政府采购中心联系人：杨连娣、李娜，联系电话：0571-88900116,0571-88907715；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</w:pP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政采云有限公司联系电话：400881719。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450" w:right="0"/>
      </w:pPr>
      <w:r>
        <w:rPr>
          <w:color w:val="333333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450" w:right="0"/>
      </w:pPr>
      <w:r>
        <w:rPr>
          <w:color w:val="333333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450" w:right="0"/>
        <w:jc w:val="right"/>
      </w:pP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浙江省政府采购中心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450" w:right="0"/>
        <w:jc w:val="right"/>
      </w:pP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2019年8月14日</w:t>
      </w:r>
    </w:p>
    <w:p>
      <w:pPr>
        <w:pStyle w:val="3"/>
        <w:keepNext w:val="0"/>
        <w:keepLines w:val="0"/>
        <w:widowControl/>
        <w:suppressLineNumbers w:val="0"/>
      </w:pPr>
      <w:r>
        <w:t> </w:t>
      </w:r>
    </w:p>
    <w:p>
      <w:pPr>
        <w:pStyle w:val="3"/>
        <w:keepNext w:val="0"/>
        <w:keepLines w:val="0"/>
        <w:widowControl/>
        <w:suppressLineNumbers w:val="0"/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72713"/>
    <w:rsid w:val="5507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2"/>
      <w:szCs w:val="42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197AFF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197AFF"/>
      <w:u w:val="none"/>
    </w:rPr>
  </w:style>
  <w:style w:type="character" w:styleId="9">
    <w:name w:val="HTML Code"/>
    <w:basedOn w:val="4"/>
    <w:uiPriority w:val="0"/>
    <w:rPr>
      <w:rFonts w:hint="default" w:ascii="Segoe UI" w:hAnsi="Segoe UI" w:eastAsia="Segoe UI" w:cs="Segoe UI"/>
      <w:sz w:val="21"/>
      <w:szCs w:val="21"/>
    </w:rPr>
  </w:style>
  <w:style w:type="character" w:styleId="10">
    <w:name w:val="HTML Keyboard"/>
    <w:basedOn w:val="4"/>
    <w:uiPriority w:val="0"/>
    <w:rPr>
      <w:rFonts w:ascii="Segoe UI" w:hAnsi="Segoe UI" w:eastAsia="Segoe UI" w:cs="Segoe UI"/>
      <w:sz w:val="21"/>
      <w:szCs w:val="21"/>
    </w:rPr>
  </w:style>
  <w:style w:type="character" w:styleId="11">
    <w:name w:val="HTML Sample"/>
    <w:basedOn w:val="4"/>
    <w:uiPriority w:val="0"/>
    <w:rPr>
      <w:rFonts w:hint="default" w:ascii="Segoe UI" w:hAnsi="Segoe UI" w:eastAsia="Segoe UI" w:cs="Segoe UI"/>
      <w:sz w:val="21"/>
      <w:szCs w:val="21"/>
    </w:rPr>
  </w:style>
  <w:style w:type="character" w:customStyle="1" w:styleId="13">
    <w:name w:val="old"/>
    <w:basedOn w:val="4"/>
    <w:uiPriority w:val="0"/>
    <w:rPr>
      <w:color w:val="999999"/>
    </w:rPr>
  </w:style>
  <w:style w:type="character" w:customStyle="1" w:styleId="14">
    <w:name w:val="hour_am"/>
    <w:basedOn w:val="4"/>
    <w:uiPriority w:val="0"/>
  </w:style>
  <w:style w:type="character" w:customStyle="1" w:styleId="15">
    <w:name w:val="hour_pm"/>
    <w:basedOn w:val="4"/>
    <w:uiPriority w:val="0"/>
  </w:style>
  <w:style w:type="character" w:customStyle="1" w:styleId="16">
    <w:name w:val="hover"/>
    <w:basedOn w:val="4"/>
    <w:uiPriority w:val="0"/>
    <w:rPr>
      <w:shd w:val="clear" w:fill="EEEEEE"/>
    </w:rPr>
  </w:style>
  <w:style w:type="character" w:customStyle="1" w:styleId="17">
    <w:name w:val="hover8"/>
    <w:basedOn w:val="4"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2019-08-21T09:07:00Z</dcterms:created>
  <dc:creator>qzcz</dc:creator>
  <cp:lastModifiedBy>qzcz</cp:lastModifiedBy>
  <dcterms:modified xsi:type="dcterms:W3CDTF">2019-08-21T09:09:34Z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