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outlineLvl w:val="0"/>
        <w:rPr>
          <w:rFonts w:hint="eastAsia" w:ascii="创艺简标宋" w:hAnsi="创艺简标宋" w:eastAsia="创艺简标宋" w:cs="创艺简标宋"/>
          <w:bCs/>
          <w:sz w:val="40"/>
          <w:szCs w:val="40"/>
          <w:lang w:eastAsia="zh-CN"/>
        </w:rPr>
      </w:pPr>
      <w:bookmarkStart w:id="0" w:name="_Toc30639"/>
      <w:r>
        <w:rPr>
          <w:rFonts w:hint="eastAsia" w:ascii="创艺简标宋" w:hAnsi="创艺简标宋" w:eastAsia="创艺简标宋" w:cs="创艺简标宋"/>
          <w:bCs/>
          <w:sz w:val="40"/>
          <w:szCs w:val="40"/>
          <w:lang w:eastAsia="zh-CN"/>
        </w:rPr>
        <w:t>2019年</w:t>
      </w:r>
      <w:r>
        <w:rPr>
          <w:rFonts w:hint="eastAsia" w:ascii="创艺简标宋" w:hAnsi="创艺简标宋" w:eastAsia="创艺简标宋" w:cs="创艺简标宋"/>
          <w:bCs/>
          <w:sz w:val="40"/>
          <w:szCs w:val="40"/>
        </w:rPr>
        <w:t>衢州市</w:t>
      </w:r>
      <w:r>
        <w:rPr>
          <w:rFonts w:hint="eastAsia" w:ascii="创艺简标宋" w:hAnsi="创艺简标宋" w:eastAsia="创艺简标宋" w:cs="创艺简标宋"/>
          <w:bCs/>
          <w:sz w:val="40"/>
          <w:szCs w:val="40"/>
          <w:lang w:eastAsia="zh-CN"/>
        </w:rPr>
        <w:t>和市级</w:t>
      </w:r>
      <w:r>
        <w:rPr>
          <w:rFonts w:hint="eastAsia" w:ascii="创艺简标宋" w:hAnsi="创艺简标宋" w:eastAsia="创艺简标宋" w:cs="创艺简标宋"/>
          <w:bCs/>
          <w:sz w:val="40"/>
          <w:szCs w:val="40"/>
        </w:rPr>
        <w:t>国有资本经营</w:t>
      </w:r>
      <w:r>
        <w:rPr>
          <w:rFonts w:hint="eastAsia" w:ascii="创艺简标宋" w:hAnsi="创艺简标宋" w:eastAsia="创艺简标宋" w:cs="创艺简标宋"/>
          <w:bCs/>
          <w:sz w:val="40"/>
          <w:szCs w:val="40"/>
          <w:lang w:eastAsia="zh-CN"/>
        </w:rPr>
        <w:t>预算收支</w:t>
      </w:r>
    </w:p>
    <w:p>
      <w:pPr>
        <w:snapToGrid w:val="0"/>
        <w:spacing w:line="600" w:lineRule="exact"/>
        <w:jc w:val="center"/>
        <w:outlineLvl w:val="0"/>
        <w:rPr>
          <w:rFonts w:hint="eastAsia" w:ascii="创艺简标宋" w:hAnsi="创艺简标宋" w:eastAsia="创艺简标宋" w:cs="创艺简标宋"/>
          <w:bCs/>
          <w:sz w:val="40"/>
          <w:szCs w:val="40"/>
        </w:rPr>
      </w:pPr>
      <w:r>
        <w:rPr>
          <w:rFonts w:hint="eastAsia" w:ascii="创艺简标宋" w:hAnsi="创艺简标宋" w:eastAsia="创艺简标宋" w:cs="创艺简标宋"/>
          <w:bCs/>
          <w:sz w:val="40"/>
          <w:szCs w:val="40"/>
        </w:rPr>
        <w:t>决算说明</w:t>
      </w:r>
    </w:p>
    <w:p>
      <w:pPr>
        <w:snapToGrid w:val="0"/>
        <w:spacing w:line="600" w:lineRule="exact"/>
        <w:jc w:val="center"/>
        <w:outlineLvl w:val="0"/>
        <w:rPr>
          <w:rFonts w:hint="eastAsia" w:ascii="创艺简标宋" w:hAnsi="创艺简标宋" w:eastAsia="创艺简标宋" w:cs="创艺简标宋"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27" w:firstLineChars="196"/>
        <w:textAlignment w:val="auto"/>
        <w:outlineLvl w:val="9"/>
        <w:rPr>
          <w:rFonts w:hint="eastAsia" w:ascii="黑体" w:hAnsi="宋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宋体" w:eastAsia="黑体"/>
          <w:color w:val="000000"/>
          <w:sz w:val="32"/>
          <w:szCs w:val="32"/>
          <w:lang w:eastAsia="zh-CN"/>
        </w:rPr>
        <w:t>一、全市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30" w:firstLineChars="196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收支决算总体情况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2019年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全市</w:t>
      </w:r>
      <w:r>
        <w:rPr>
          <w:rFonts w:hint="eastAsia" w:ascii="仿宋_GB2312" w:eastAsia="仿宋_GB2312"/>
          <w:sz w:val="32"/>
          <w:szCs w:val="32"/>
        </w:rPr>
        <w:t>国有资本经营预算收入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5698</w:t>
      </w:r>
      <w:r>
        <w:rPr>
          <w:rFonts w:hint="eastAsia" w:ascii="仿宋_GB2312" w:eastAsia="仿宋_GB2312"/>
          <w:sz w:val="32"/>
          <w:szCs w:val="32"/>
        </w:rPr>
        <w:t>万元</w:t>
      </w:r>
      <w:bookmarkStart w:id="1" w:name="_GoBack"/>
      <w:bookmarkEnd w:id="1"/>
      <w:r>
        <w:rPr>
          <w:rFonts w:hint="eastAsia" w:ascii="仿宋_GB2312" w:eastAsia="仿宋_GB2312"/>
          <w:sz w:val="32"/>
          <w:szCs w:val="32"/>
        </w:rPr>
        <w:t>，支出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5698</w:t>
      </w:r>
      <w:r>
        <w:rPr>
          <w:rFonts w:hint="eastAsia" w:ascii="仿宋_GB2312" w:eastAsia="仿宋_GB2312"/>
          <w:sz w:val="32"/>
          <w:szCs w:val="32"/>
        </w:rPr>
        <w:t>万元，收支相抵，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全市</w:t>
      </w:r>
      <w:r>
        <w:rPr>
          <w:rFonts w:hint="eastAsia" w:ascii="仿宋_GB2312" w:eastAsia="仿宋_GB2312"/>
          <w:sz w:val="32"/>
          <w:szCs w:val="32"/>
        </w:rPr>
        <w:t>国有资本经营收支平衡。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3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（二）收入决算情况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2019年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全市</w:t>
      </w:r>
      <w:r>
        <w:rPr>
          <w:rFonts w:hint="eastAsia" w:ascii="仿宋_GB2312" w:eastAsia="仿宋_GB2312"/>
          <w:sz w:val="32"/>
          <w:szCs w:val="32"/>
        </w:rPr>
        <w:t>国有资本经营预算收入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4715</w:t>
      </w:r>
      <w:r>
        <w:rPr>
          <w:rFonts w:hint="eastAsia" w:ascii="仿宋_GB2312" w:eastAsia="仿宋_GB2312"/>
          <w:sz w:val="32"/>
          <w:szCs w:val="32"/>
        </w:rPr>
        <w:t>万元，完成</w:t>
      </w:r>
      <w:r>
        <w:rPr>
          <w:rFonts w:hint="eastAsia" w:ascii="仿宋_GB2312" w:eastAsia="仿宋_GB2312"/>
          <w:sz w:val="32"/>
          <w:szCs w:val="32"/>
          <w:lang w:eastAsia="zh-CN"/>
        </w:rPr>
        <w:t>调整后</w:t>
      </w:r>
      <w:r>
        <w:rPr>
          <w:rFonts w:hint="eastAsia" w:ascii="仿宋_GB2312" w:eastAsia="仿宋_GB2312"/>
          <w:sz w:val="32"/>
          <w:szCs w:val="32"/>
        </w:rPr>
        <w:t>预算的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104.5</w:t>
      </w:r>
      <w:r>
        <w:rPr>
          <w:rFonts w:hint="eastAsia" w:ascii="仿宋_GB2312" w:eastAsia="仿宋_GB2312"/>
          <w:sz w:val="32"/>
          <w:szCs w:val="32"/>
        </w:rPr>
        <w:t>%，增长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73.8</w:t>
      </w:r>
      <w:r>
        <w:rPr>
          <w:rFonts w:hint="eastAsia" w:ascii="仿宋_GB2312" w:eastAsia="仿宋_GB2312"/>
          <w:sz w:val="32"/>
          <w:szCs w:val="32"/>
        </w:rPr>
        <w:t>%。其中：利润收入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3834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，股利、股息收入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50万元，</w:t>
      </w:r>
      <w:r>
        <w:rPr>
          <w:rFonts w:hint="eastAsia" w:ascii="仿宋_GB2312" w:eastAsia="仿宋_GB2312"/>
          <w:sz w:val="32"/>
          <w:szCs w:val="32"/>
        </w:rPr>
        <w:t>其他国有资本经营收入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全市国有资本经营预算收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4715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元，加上转移性收入（使用结转资金）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983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万元，收入合计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5698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3" w:firstLineChars="200"/>
        <w:textAlignment w:val="auto"/>
        <w:outlineLvl w:val="9"/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（三）支出决算情况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2019年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全市</w:t>
      </w:r>
      <w:r>
        <w:rPr>
          <w:rFonts w:hint="eastAsia" w:ascii="仿宋_GB2312" w:eastAsia="仿宋_GB2312"/>
          <w:sz w:val="32"/>
          <w:szCs w:val="32"/>
        </w:rPr>
        <w:t>国有资本经营预算支出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2285</w:t>
      </w:r>
      <w:r>
        <w:rPr>
          <w:rFonts w:hint="eastAsia" w:ascii="仿宋_GB2312" w:eastAsia="仿宋_GB2312"/>
          <w:sz w:val="32"/>
          <w:szCs w:val="32"/>
        </w:rPr>
        <w:t>万元，完成</w:t>
      </w:r>
      <w:r>
        <w:rPr>
          <w:rFonts w:hint="eastAsia" w:ascii="仿宋_GB2312" w:eastAsia="仿宋_GB2312"/>
          <w:sz w:val="32"/>
          <w:szCs w:val="32"/>
          <w:lang w:eastAsia="zh-CN"/>
        </w:rPr>
        <w:t>调整后</w:t>
      </w:r>
      <w:r>
        <w:rPr>
          <w:rFonts w:hint="eastAsia" w:ascii="仿宋_GB2312" w:eastAsia="仿宋_GB2312"/>
          <w:sz w:val="32"/>
          <w:szCs w:val="32"/>
        </w:rPr>
        <w:t>预算的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91.7</w:t>
      </w:r>
      <w:r>
        <w:rPr>
          <w:rFonts w:hint="eastAsia" w:ascii="仿宋_GB2312" w:eastAsia="仿宋_GB2312"/>
          <w:sz w:val="32"/>
          <w:szCs w:val="32"/>
        </w:rPr>
        <w:t>%，增长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5.1</w:t>
      </w:r>
      <w:r>
        <w:rPr>
          <w:rFonts w:hint="eastAsia" w:ascii="仿宋_GB2312" w:eastAsia="仿宋_GB2312"/>
          <w:sz w:val="32"/>
          <w:szCs w:val="32"/>
        </w:rPr>
        <w:t>%。其中：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国有企业资本金注入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915万元,其他国有资本经营预算支出1370万元。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全市国有资本经营预算支出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2285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万元，加上转移性支出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3413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万元（其中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调出资金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2927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万元，结转下年支出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486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万元），支出合计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5698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 w:firstLine="640" w:firstLineChars="200"/>
        <w:textAlignment w:val="auto"/>
        <w:outlineLvl w:val="9"/>
        <w:rPr>
          <w:rFonts w:hint="eastAsia" w:ascii="黑体" w:hAnsi="宋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宋体" w:eastAsia="黑体"/>
          <w:color w:val="000000"/>
          <w:sz w:val="32"/>
          <w:szCs w:val="32"/>
          <w:lang w:eastAsia="zh-CN"/>
        </w:rPr>
        <w:t>二、市级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 w:firstLine="643" w:firstLineChars="200"/>
        <w:textAlignment w:val="auto"/>
        <w:outlineLvl w:val="9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收支决算总体情况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2019年</w:t>
      </w:r>
      <w:r>
        <w:rPr>
          <w:rFonts w:hint="eastAsia" w:ascii="仿宋_GB2312" w:eastAsia="仿宋_GB2312"/>
          <w:sz w:val="32"/>
          <w:szCs w:val="32"/>
        </w:rPr>
        <w:t>市级国有资本经营预算收入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>726</w:t>
      </w:r>
      <w:r>
        <w:rPr>
          <w:rFonts w:hint="eastAsia" w:ascii="仿宋_GB2312" w:eastAsia="仿宋_GB2312"/>
          <w:sz w:val="32"/>
          <w:szCs w:val="32"/>
        </w:rPr>
        <w:t>万元，支出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>726</w:t>
      </w:r>
      <w:r>
        <w:rPr>
          <w:rFonts w:hint="eastAsia" w:ascii="仿宋_GB2312" w:eastAsia="仿宋_GB2312"/>
          <w:sz w:val="32"/>
          <w:szCs w:val="32"/>
        </w:rPr>
        <w:t>万元，收支相抵，市级国有资本经营收支平衡。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3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（二）收入决算情况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2019年</w:t>
      </w:r>
      <w:r>
        <w:rPr>
          <w:rFonts w:hint="eastAsia" w:ascii="仿宋_GB2312" w:eastAsia="仿宋_GB2312"/>
          <w:sz w:val="32"/>
          <w:szCs w:val="32"/>
        </w:rPr>
        <w:t>市级国有资本经营预算收入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>726</w:t>
      </w:r>
      <w:r>
        <w:rPr>
          <w:rFonts w:hint="eastAsia" w:ascii="仿宋_GB2312" w:eastAsia="仿宋_GB2312"/>
          <w:sz w:val="32"/>
          <w:szCs w:val="32"/>
        </w:rPr>
        <w:t>万元，完成</w:t>
      </w:r>
      <w:r>
        <w:rPr>
          <w:rFonts w:hint="eastAsia" w:ascii="仿宋_GB2312" w:eastAsia="仿宋_GB2312"/>
          <w:sz w:val="32"/>
          <w:szCs w:val="32"/>
          <w:lang w:eastAsia="zh-CN"/>
        </w:rPr>
        <w:t>调整后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预算的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100.0%</w:t>
      </w:r>
      <w:r>
        <w:rPr>
          <w:rFonts w:hint="eastAsia" w:ascii="仿宋_GB2312" w:eastAsia="仿宋_GB2312"/>
          <w:sz w:val="32"/>
          <w:szCs w:val="32"/>
        </w:rPr>
        <w:t>，增长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>150.3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>%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>全部为利润收入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eastAsia="zh-CN"/>
        </w:rPr>
        <w:t>涉及补缴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>2017年度国有资本经营预算收益的一级国有企业有7户（年度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>净利润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>0万元以上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eastAsia="zh-CN"/>
        </w:rPr>
        <w:t>），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>分别为衢州市金融投资管理有限公司、衢州市顺达公路养护工程有限公司、衢州市园林开发公司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>衢州市建设工程质量监督站检测中心、浙江衢州安邦护卫有限公司、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eastAsia="zh-CN"/>
        </w:rPr>
        <w:t>衢州广纳人才开发公司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>、衢州市益安检测有限责任公司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>7户企业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>共实现净利润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>1577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>万元，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eastAsia="zh-CN"/>
        </w:rPr>
        <w:t>根据规定，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>按照净利润的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>0%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eastAsia="zh-CN"/>
        </w:rPr>
        <w:t>共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>315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>万元上交市财政作为市级国有资本经营预算收入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" w:eastAsia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>需缴纳国有资本经营预算收益的一级国有企业共有7户（年度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>净利润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>0万元以上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>分别为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eastAsia="zh-CN"/>
        </w:rPr>
        <w:t>衢州市龙潭水电站、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>衢州市园林开发公司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>衢州市建设工程质量监督站检测中心、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eastAsia="zh-CN"/>
        </w:rPr>
        <w:t>衢州交通驾驶培训有限公司、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>浙江衢州安邦护卫有限公司、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eastAsia="zh-CN"/>
        </w:rPr>
        <w:t>衢州广纳人才开发公司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>、衢州市益安检测有限责任公司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>户企业共实现净利润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>1644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>万元，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eastAsia="zh-CN"/>
        </w:rPr>
        <w:t>根据规定，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>按照净利润的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>25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eastAsia="zh-CN"/>
        </w:rPr>
        <w:t>共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>411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>万元上交市财政作为市级国有资本经营预算收入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640" w:leftChars="0" w:right="0" w:rightChars="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（三）支出决算情况</w:t>
      </w:r>
    </w:p>
    <w:p>
      <w:pPr>
        <w:ind w:firstLine="640" w:firstLineChars="200"/>
        <w:rPr>
          <w:rFonts w:hint="eastAsia" w:ascii="仿宋_GB2312" w:hAnsi="Arial" w:eastAsia="仿宋_GB2312" w:cs="Arial"/>
          <w:kern w:val="2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2019年市级国有资本经营预算支出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508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调整后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预算的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100.0%，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75.2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全部为其他国有资本经营预算支出，用于市级国有企业项目支出。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转移性支出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218万元。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根据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eastAsia="zh-CN"/>
        </w:rPr>
        <w:t>《浙江省财政厅关于印发浙江省社会保障风险准备金管理办法的通知》（浙财社〔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>2018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eastAsia="zh-CN"/>
        </w:rPr>
        <w:t>〕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>56号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eastAsia="zh-CN"/>
        </w:rPr>
        <w:t>）第四条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规定，按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>国有资本经营预算收入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eastAsia="zh-CN"/>
        </w:rPr>
        <w:t>的</w:t>
      </w:r>
      <w:r>
        <w:rPr>
          <w:rFonts w:ascii="仿宋_GB2312" w:hAnsi="Arial" w:eastAsia="仿宋_GB2312" w:cs="Arial"/>
          <w:kern w:val="2"/>
          <w:sz w:val="32"/>
          <w:szCs w:val="32"/>
          <w:shd w:val="clear" w:color="auto" w:fill="auto"/>
        </w:rPr>
        <w:t>30%</w:t>
      </w:r>
      <w:r>
        <w:rPr>
          <w:rFonts w:hint="eastAsia" w:ascii="仿宋_GB2312" w:hAnsi="Arial" w:eastAsia="仿宋_GB2312" w:cs="Arial"/>
          <w:kern w:val="2"/>
          <w:sz w:val="32"/>
          <w:szCs w:val="32"/>
          <w:shd w:val="clear" w:color="auto" w:fill="auto"/>
        </w:rPr>
        <w:t>计提调</w:t>
      </w:r>
      <w:r>
        <w:rPr>
          <w:rFonts w:hint="eastAsia" w:ascii="仿宋_GB2312" w:hAnsi="Arial" w:eastAsia="仿宋_GB2312" w:cs="Arial"/>
          <w:kern w:val="2"/>
          <w:sz w:val="32"/>
          <w:szCs w:val="32"/>
          <w:shd w:val="clear" w:color="auto" w:fill="auto"/>
          <w:lang w:eastAsia="zh-CN"/>
        </w:rPr>
        <w:t>入一般公共预算用于补充</w:t>
      </w:r>
      <w:r>
        <w:rPr>
          <w:rFonts w:hint="eastAsia" w:ascii="仿宋_GB2312" w:hAnsi="Arial" w:eastAsia="仿宋_GB2312" w:cs="Arial"/>
          <w:kern w:val="2"/>
          <w:sz w:val="32"/>
          <w:szCs w:val="32"/>
          <w:shd w:val="clear" w:color="auto" w:fill="auto"/>
        </w:rPr>
        <w:t>社保风险准备金</w:t>
      </w:r>
      <w:r>
        <w:rPr>
          <w:rFonts w:hint="eastAsia" w:ascii="仿宋_GB2312" w:hAnsi="Arial" w:eastAsia="仿宋_GB2312" w:cs="Arial"/>
          <w:kern w:val="2"/>
          <w:sz w:val="32"/>
          <w:szCs w:val="32"/>
          <w:shd w:val="clear" w:color="auto" w:fill="auto"/>
          <w:lang w:val="en-US" w:eastAsia="zh-CN"/>
        </w:rPr>
        <w:t>218万元</w:t>
      </w:r>
      <w:r>
        <w:rPr>
          <w:rFonts w:hint="eastAsia" w:ascii="仿宋_GB2312" w:hAnsi="Arial" w:eastAsia="仿宋_GB2312" w:cs="Arial"/>
          <w:kern w:val="2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市级国有资本经营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508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万元，</w:t>
      </w:r>
      <w:r>
        <w:rPr>
          <w:rFonts w:hint="eastAsia" w:ascii="仿宋_GB2312" w:hAnsi="Arial" w:eastAsia="仿宋_GB2312" w:cs="Arial"/>
          <w:kern w:val="2"/>
          <w:sz w:val="32"/>
          <w:szCs w:val="32"/>
          <w:shd w:val="clear" w:color="auto" w:fill="auto"/>
          <w:lang w:eastAsia="zh-CN"/>
        </w:rPr>
        <w:t>加上转移性支出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218万元</w:t>
      </w:r>
      <w:r>
        <w:rPr>
          <w:rFonts w:hint="eastAsia" w:ascii="仿宋_GB2312" w:hAnsi="Arial" w:eastAsia="仿宋_GB2312" w:cs="Arial"/>
          <w:kern w:val="2"/>
          <w:sz w:val="32"/>
          <w:szCs w:val="32"/>
          <w:shd w:val="clear" w:color="auto" w:fill="auto"/>
          <w:lang w:eastAsia="zh-CN"/>
        </w:rPr>
        <w:t>，支出合计</w:t>
      </w:r>
      <w:r>
        <w:rPr>
          <w:rFonts w:hint="eastAsia" w:ascii="仿宋_GB2312" w:hAnsi="Arial" w:eastAsia="仿宋_GB2312" w:cs="Arial"/>
          <w:kern w:val="2"/>
          <w:sz w:val="32"/>
          <w:szCs w:val="32"/>
          <w:shd w:val="clear" w:color="auto" w:fill="auto"/>
          <w:lang w:val="en-US" w:eastAsia="zh-CN"/>
        </w:rPr>
        <w:t>726万元。</w:t>
      </w:r>
    </w:p>
    <w:p>
      <w:pPr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t>- 27 -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z&#10;SVju0AAAAAUBAAAPAAAAAAAAAAEAIAAAACIAAABkcnMvZG93bnJldi54bWxQSwECFAAUAAAACACH&#10;TuJAVlPHrroBAABYAwAADgAAAAAAAAABACAAAAAfAQAAZHJzL2Uyb0RvYy54bWxQSwUGAAAAAAYA&#10;BgBZAQAAS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t>- 27 -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15889"/>
    <w:rsid w:val="00677CC1"/>
    <w:rsid w:val="03E323BF"/>
    <w:rsid w:val="166B3F5C"/>
    <w:rsid w:val="16D028B3"/>
    <w:rsid w:val="1C2D3D6C"/>
    <w:rsid w:val="32D25955"/>
    <w:rsid w:val="358A33FE"/>
    <w:rsid w:val="40E15889"/>
    <w:rsid w:val="464C0D52"/>
    <w:rsid w:val="518D736B"/>
    <w:rsid w:val="5E684E3D"/>
    <w:rsid w:val="5FB72EC8"/>
    <w:rsid w:val="6C267C2C"/>
    <w:rsid w:val="6CE452ED"/>
    <w:rsid w:val="6F8654C7"/>
    <w:rsid w:val="747043AB"/>
    <w:rsid w:val="750879B6"/>
    <w:rsid w:val="7543437E"/>
    <w:rsid w:val="7670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仿宋_GB2312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458</Words>
  <Characters>519</Characters>
  <Lines>0</Lines>
  <Paragraphs>0</Paragraphs>
  <TotalTime>11</TotalTime>
  <ScaleCrop>false</ScaleCrop>
  <LinksUpToDate>false</LinksUpToDate>
  <CharactersWithSpaces>525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2019-08-01T01:42:00Z</dcterms:created>
  <dc:creator>季馨</dc:creator>
  <cp:lastModifiedBy>Administrator</cp:lastModifiedBy>
  <dcterms:modified xsi:type="dcterms:W3CDTF">2021-05-18T06:47:14Z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C41CB7E5478245219EA48A5B2B84DF76</vt:lpwstr>
  </property>
</Properties>
</file>