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sz w:val="28"/>
          <w:szCs w:val="28"/>
          <w:lang w:val="en-US" w:eastAsia="zh-CN"/>
        </w:rPr>
      </w:pPr>
      <w:r>
        <w:rPr>
          <w:rFonts w:hint="eastAsia" w:ascii="方正小标宋简体" w:hAnsi="方正小标宋简体" w:eastAsia="方正小标宋简体" w:cs="方正小标宋简体"/>
          <w:sz w:val="44"/>
          <w:szCs w:val="44"/>
        </w:rPr>
        <w:t>衢州市2020年预算绩效工作开展情况说明</w:t>
      </w:r>
    </w:p>
    <w:p>
      <w:pPr>
        <w:jc w:val="left"/>
        <w:rPr>
          <w:rFonts w:hint="eastAsia" w:ascii="仿宋_GB2312" w:hAnsi="仿宋_GB2312" w:eastAsia="仿宋_GB2312" w:cs="仿宋_GB2312"/>
          <w:sz w:val="32"/>
          <w:szCs w:val="32"/>
          <w:lang w:val="en-US" w:eastAsia="zh-CN"/>
        </w:rPr>
      </w:pPr>
    </w:p>
    <w:p>
      <w:pPr>
        <w:widowControl/>
        <w:spacing w:line="560" w:lineRule="exact"/>
        <w:ind w:firstLine="640" w:firstLineChars="200"/>
        <w:rPr>
          <w:rFonts w:hint="eastAsia" w:ascii="仿宋_GB2312" w:hAnsi="仿宋_GB2312" w:eastAsia="仿宋_GB2312" w:cs="仿宋_GB2312"/>
          <w:sz w:val="32"/>
          <w:szCs w:val="30"/>
          <w:lang w:eastAsia="zh-CN"/>
        </w:rPr>
      </w:pPr>
      <w:r>
        <w:rPr>
          <w:rFonts w:hint="eastAsia" w:ascii="仿宋_GB2312" w:hAnsi="仿宋_GB2312" w:eastAsia="仿宋_GB2312" w:cs="仿宋_GB2312"/>
          <w:sz w:val="32"/>
          <w:szCs w:val="32"/>
        </w:rPr>
        <w:t>2020年，</w:t>
      </w:r>
      <w:r>
        <w:rPr>
          <w:rFonts w:hint="eastAsia" w:ascii="仿宋_GB2312" w:hAnsi="仿宋_GB2312" w:eastAsia="仿宋_GB2312" w:cs="仿宋_GB2312"/>
          <w:sz w:val="32"/>
          <w:szCs w:val="32"/>
          <w:lang w:eastAsia="zh-CN"/>
        </w:rPr>
        <w:t>衢州市《中共衢州市委衢州市人民政府关于全面推进预算绩效管理的实施意见》</w:t>
      </w:r>
      <w:r>
        <w:rPr>
          <w:rFonts w:hint="eastAsia" w:ascii="仿宋_GB2312" w:hAnsi="仿宋_GB2312" w:eastAsia="仿宋_GB2312" w:cs="仿宋_GB2312"/>
          <w:sz w:val="32"/>
          <w:szCs w:val="32"/>
        </w:rPr>
        <w:t>为总引领，有序</w:t>
      </w:r>
      <w:r>
        <w:rPr>
          <w:rFonts w:hint="eastAsia" w:ascii="仿宋_GB2312" w:hAnsi="仿宋_GB2312" w:eastAsia="仿宋_GB2312" w:cs="仿宋_GB2312"/>
          <w:sz w:val="32"/>
          <w:szCs w:val="30"/>
        </w:rPr>
        <w:t>推进全面实施预算绩效管理。主要工作</w:t>
      </w:r>
      <w:r>
        <w:rPr>
          <w:rFonts w:hint="eastAsia" w:ascii="仿宋_GB2312" w:hAnsi="仿宋_GB2312" w:eastAsia="仿宋_GB2312" w:cs="仿宋_GB2312"/>
          <w:sz w:val="32"/>
          <w:szCs w:val="30"/>
          <w:lang w:eastAsia="zh-CN"/>
        </w:rPr>
        <w:t>开展情况</w:t>
      </w:r>
      <w:r>
        <w:rPr>
          <w:rFonts w:hint="eastAsia" w:ascii="仿宋_GB2312" w:hAnsi="仿宋_GB2312" w:eastAsia="仿宋_GB2312" w:cs="仿宋_GB2312"/>
          <w:sz w:val="32"/>
          <w:szCs w:val="30"/>
        </w:rPr>
        <w:t>如下</w:t>
      </w:r>
      <w:r>
        <w:rPr>
          <w:rFonts w:hint="eastAsia" w:ascii="仿宋_GB2312" w:hAnsi="仿宋_GB2312" w:eastAsia="仿宋_GB2312" w:cs="仿宋_GB2312"/>
          <w:sz w:val="32"/>
          <w:szCs w:val="30"/>
          <w:lang w:eastAsia="zh-CN"/>
        </w:rPr>
        <w:t>：</w:t>
      </w:r>
    </w:p>
    <w:p>
      <w:pPr>
        <w:widowControl/>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0"/>
        </w:rPr>
        <w:t>一、</w:t>
      </w:r>
      <w:r>
        <w:rPr>
          <w:rFonts w:hint="eastAsia" w:ascii="黑体" w:hAnsi="黑体" w:eastAsia="黑体" w:cs="黑体"/>
          <w:sz w:val="32"/>
          <w:szCs w:val="32"/>
        </w:rPr>
        <w:t>把握一个“全”字，</w:t>
      </w:r>
      <w:r>
        <w:rPr>
          <w:rFonts w:hint="eastAsia" w:ascii="黑体" w:hAnsi="黑体" w:eastAsia="黑体" w:cs="黑体"/>
          <w:sz w:val="32"/>
          <w:szCs w:val="32"/>
          <w:lang w:eastAsia="zh-CN"/>
        </w:rPr>
        <w:t>筑牢制度之基</w:t>
      </w:r>
    </w:p>
    <w:p>
      <w:pPr>
        <w:keepNext w:val="0"/>
        <w:keepLines w:val="0"/>
        <w:pageBreakBefore w:val="0"/>
        <w:numPr>
          <w:ilvl w:val="0"/>
          <w:numId w:val="0"/>
        </w:numPr>
        <w:kinsoku/>
        <w:wordWrap/>
        <w:overflowPunct/>
        <w:topLinePunct w:val="0"/>
        <w:autoSpaceDE/>
        <w:autoSpaceDN/>
        <w:bidi w:val="0"/>
        <w:adjustRightInd/>
        <w:spacing w:line="360" w:lineRule="auto"/>
        <w:ind w:left="0" w:leftChars="0" w:right="0" w:rightChars="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eastAsia="zh-CN"/>
        </w:rPr>
        <w:t>在市委、市政府关于</w:t>
      </w:r>
      <w:r>
        <w:rPr>
          <w:rFonts w:hint="eastAsia" w:ascii="仿宋_GB2312" w:eastAsia="仿宋_GB2312"/>
          <w:sz w:val="32"/>
          <w:szCs w:val="32"/>
        </w:rPr>
        <w:t>全面推进预算绩效管理的实施意见</w:t>
      </w:r>
      <w:r>
        <w:rPr>
          <w:rFonts w:hint="eastAsia" w:ascii="仿宋_GB2312" w:eastAsia="仿宋_GB2312"/>
          <w:sz w:val="32"/>
          <w:szCs w:val="32"/>
          <w:lang w:eastAsia="zh-CN"/>
        </w:rPr>
        <w:t>及</w:t>
      </w:r>
      <w:r>
        <w:rPr>
          <w:rFonts w:hint="eastAsia" w:ascii="仿宋_GB2312" w:eastAsia="仿宋_GB2312"/>
          <w:sz w:val="32"/>
          <w:szCs w:val="32"/>
        </w:rPr>
        <w:t>全面落实预算绩效管理三年行动计划</w:t>
      </w:r>
      <w:r>
        <w:rPr>
          <w:rFonts w:hint="eastAsia" w:ascii="仿宋_GB2312" w:eastAsia="仿宋_GB2312"/>
          <w:sz w:val="32"/>
          <w:szCs w:val="32"/>
          <w:lang w:eastAsia="zh-CN"/>
        </w:rPr>
        <w:t>引领下，结合市委“</w:t>
      </w:r>
      <w:r>
        <w:rPr>
          <w:rFonts w:hint="eastAsia" w:ascii="仿宋_GB2312" w:eastAsia="仿宋_GB2312"/>
          <w:sz w:val="32"/>
          <w:szCs w:val="32"/>
          <w:lang w:val="en-US" w:eastAsia="zh-CN"/>
        </w:rPr>
        <w:t>1433”发展战略和衢州实际，</w:t>
      </w:r>
      <w:r>
        <w:rPr>
          <w:rFonts w:hint="eastAsia" w:ascii="仿宋_GB2312" w:eastAsia="仿宋_GB2312"/>
          <w:sz w:val="32"/>
          <w:szCs w:val="32"/>
        </w:rPr>
        <w:t>重点从规范管理和业务流程两个层面，</w:t>
      </w:r>
      <w:r>
        <w:rPr>
          <w:rFonts w:hint="eastAsia" w:ascii="仿宋_GB2312" w:eastAsia="仿宋_GB2312"/>
          <w:sz w:val="32"/>
          <w:szCs w:val="32"/>
          <w:lang w:eastAsia="zh-CN"/>
        </w:rPr>
        <w:t>制定出台了</w:t>
      </w:r>
      <w:r>
        <w:rPr>
          <w:rFonts w:hint="eastAsia" w:ascii="仿宋_GB2312" w:eastAsia="仿宋_GB2312"/>
          <w:sz w:val="32"/>
          <w:szCs w:val="32"/>
        </w:rPr>
        <w:t>包括内部工作规程、事前绩效评估、</w:t>
      </w:r>
      <w:r>
        <w:rPr>
          <w:rFonts w:hint="eastAsia" w:ascii="仿宋_GB2312" w:eastAsia="仿宋_GB2312"/>
          <w:sz w:val="32"/>
          <w:szCs w:val="32"/>
          <w:lang w:eastAsia="zh-CN"/>
        </w:rPr>
        <w:t>绩效目标管理、</w:t>
      </w:r>
      <w:r>
        <w:rPr>
          <w:rFonts w:hint="eastAsia" w:ascii="仿宋_GB2312" w:eastAsia="仿宋_GB2312"/>
          <w:sz w:val="32"/>
          <w:szCs w:val="32"/>
        </w:rPr>
        <w:t>绩效运行监控、绩效评价</w:t>
      </w:r>
      <w:r>
        <w:rPr>
          <w:rFonts w:hint="eastAsia" w:ascii="仿宋_GB2312" w:eastAsia="仿宋_GB2312"/>
          <w:sz w:val="32"/>
          <w:szCs w:val="32"/>
          <w:lang w:eastAsia="zh-CN"/>
        </w:rPr>
        <w:t>、绩效管理成果运用</w:t>
      </w:r>
      <w:r>
        <w:rPr>
          <w:rFonts w:hint="eastAsia" w:ascii="仿宋_GB2312" w:eastAsia="仿宋_GB2312"/>
          <w:sz w:val="32"/>
          <w:szCs w:val="32"/>
        </w:rPr>
        <w:t>等</w:t>
      </w:r>
      <w:r>
        <w:rPr>
          <w:rFonts w:hint="eastAsia" w:ascii="仿宋_GB2312" w:eastAsia="仿宋_GB2312"/>
          <w:sz w:val="32"/>
          <w:szCs w:val="32"/>
          <w:lang w:eastAsia="zh-CN"/>
        </w:rPr>
        <w:t>系列实施</w:t>
      </w:r>
      <w:r>
        <w:rPr>
          <w:rFonts w:hint="eastAsia" w:ascii="仿宋_GB2312" w:eastAsia="仿宋_GB2312"/>
          <w:sz w:val="32"/>
          <w:szCs w:val="32"/>
        </w:rPr>
        <w:t>办法，</w:t>
      </w:r>
      <w:r>
        <w:rPr>
          <w:rFonts w:hint="eastAsia" w:ascii="仿宋_GB2312" w:eastAsia="仿宋_GB2312"/>
          <w:sz w:val="32"/>
          <w:szCs w:val="32"/>
          <w:lang w:eastAsia="zh-CN"/>
        </w:rPr>
        <w:t>绩效管理</w:t>
      </w:r>
      <w:r>
        <w:rPr>
          <w:rFonts w:hint="eastAsia" w:ascii="仿宋_GB2312" w:eastAsia="仿宋_GB2312"/>
          <w:sz w:val="32"/>
          <w:szCs w:val="32"/>
        </w:rPr>
        <w:t>制度体系</w:t>
      </w:r>
      <w:r>
        <w:rPr>
          <w:rFonts w:hint="eastAsia" w:ascii="仿宋_GB2312" w:eastAsia="仿宋_GB2312"/>
          <w:sz w:val="32"/>
          <w:szCs w:val="32"/>
          <w:lang w:eastAsia="zh-CN"/>
        </w:rPr>
        <w:t>已基本形成</w:t>
      </w:r>
      <w:r>
        <w:rPr>
          <w:rFonts w:hint="eastAsia" w:ascii="仿宋_GB2312" w:eastAsia="仿宋_GB2312"/>
          <w:sz w:val="32"/>
          <w:szCs w:val="32"/>
        </w:rPr>
        <w:t>，</w:t>
      </w:r>
      <w:r>
        <w:rPr>
          <w:rFonts w:hint="eastAsia" w:ascii="仿宋_GB2312" w:eastAsia="仿宋_GB2312"/>
          <w:sz w:val="32"/>
          <w:szCs w:val="32"/>
          <w:lang w:eastAsia="zh-CN"/>
        </w:rPr>
        <w:t>财政、部门及单位管理</w:t>
      </w:r>
      <w:r>
        <w:rPr>
          <w:rFonts w:hint="eastAsia" w:ascii="仿宋_GB2312" w:eastAsia="仿宋_GB2312"/>
          <w:sz w:val="32"/>
          <w:szCs w:val="32"/>
        </w:rPr>
        <w:t>职责</w:t>
      </w:r>
      <w:r>
        <w:rPr>
          <w:rFonts w:hint="eastAsia" w:ascii="仿宋_GB2312" w:eastAsia="仿宋_GB2312"/>
          <w:sz w:val="32"/>
          <w:szCs w:val="32"/>
          <w:lang w:eastAsia="zh-CN"/>
        </w:rPr>
        <w:t>更为清晰，事前、事中</w:t>
      </w:r>
      <w:r>
        <w:rPr>
          <w:rFonts w:hint="eastAsia" w:ascii="仿宋_GB2312" w:eastAsia="仿宋_GB2312"/>
          <w:sz w:val="32"/>
          <w:szCs w:val="32"/>
        </w:rPr>
        <w:t>、</w:t>
      </w:r>
      <w:r>
        <w:rPr>
          <w:rFonts w:hint="eastAsia" w:ascii="仿宋_GB2312" w:eastAsia="仿宋_GB2312"/>
          <w:sz w:val="32"/>
          <w:szCs w:val="32"/>
          <w:lang w:eastAsia="zh-CN"/>
        </w:rPr>
        <w:t>事后管理流程更为</w:t>
      </w:r>
      <w:r>
        <w:rPr>
          <w:rFonts w:hint="eastAsia" w:ascii="仿宋_GB2312" w:eastAsia="仿宋_GB2312"/>
          <w:sz w:val="32"/>
          <w:szCs w:val="32"/>
        </w:rPr>
        <w:t>规范</w:t>
      </w:r>
      <w:r>
        <w:rPr>
          <w:rFonts w:hint="eastAsia" w:ascii="仿宋_GB2312" w:eastAsia="仿宋_GB2312"/>
          <w:sz w:val="32"/>
          <w:szCs w:val="32"/>
          <w:lang w:eastAsia="zh-CN"/>
        </w:rPr>
        <w:t>，激励约束机制得以更加完善和硬化</w:t>
      </w:r>
      <w:r>
        <w:rPr>
          <w:rFonts w:hint="eastAsia" w:ascii="仿宋_GB2312" w:eastAsia="仿宋_GB2312"/>
          <w:sz w:val="32"/>
          <w:szCs w:val="32"/>
        </w:rPr>
        <w:t>。</w:t>
      </w:r>
    </w:p>
    <w:p>
      <w:pPr>
        <w:pStyle w:val="9"/>
        <w:keepNext w:val="0"/>
        <w:keepLines w:val="0"/>
        <w:pageBreakBefore w:val="0"/>
        <w:numPr>
          <w:numId w:val="0"/>
        </w:numPr>
        <w:kinsoku/>
        <w:wordWrap/>
        <w:overflowPunct/>
        <w:topLinePunct w:val="0"/>
        <w:autoSpaceDE/>
        <w:autoSpaceDN/>
        <w:bidi w:val="0"/>
        <w:adjustRightInd/>
        <w:spacing w:line="360" w:lineRule="auto"/>
        <w:ind w:leftChars="200" w:right="0" w:rightChars="0" w:firstLine="320" w:firstLineChars="100"/>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二、瞄准一个“新”字，以创新作动力</w:t>
      </w:r>
    </w:p>
    <w:p>
      <w:pPr>
        <w:pStyle w:val="9"/>
        <w:keepNext w:val="0"/>
        <w:keepLines w:val="0"/>
        <w:pageBreakBefore w:val="0"/>
        <w:numPr>
          <w:numId w:val="0"/>
        </w:numPr>
        <w:kinsoku/>
        <w:wordWrap/>
        <w:overflowPunct/>
        <w:topLinePunct w:val="0"/>
        <w:autoSpaceDE/>
        <w:autoSpaceDN/>
        <w:bidi w:val="0"/>
        <w:adjustRightInd/>
        <w:spacing w:line="360" w:lineRule="auto"/>
        <w:ind w:right="0" w:rightChars="0" w:firstLine="640" w:firstLineChars="200"/>
        <w:jc w:val="both"/>
        <w:textAlignment w:val="auto"/>
        <w:outlineLvl w:val="9"/>
        <w:rPr>
          <w:rFonts w:hint="eastAsia" w:ascii="仿宋_GB2312" w:eastAsia="仿宋_GB2312" w:hAnsiTheme="minorHAnsi" w:cstheme="minorBidi"/>
          <w:kern w:val="2"/>
          <w:sz w:val="32"/>
          <w:szCs w:val="32"/>
          <w:lang w:val="en-US" w:eastAsia="zh-CN" w:bidi="ar-SA"/>
        </w:rPr>
      </w:pPr>
      <w:r>
        <w:rPr>
          <w:rFonts w:hint="eastAsia" w:ascii="仿宋_GB2312" w:eastAsia="仿宋_GB2312" w:hAnsiTheme="minorHAnsi" w:cstheme="minorBidi"/>
          <w:kern w:val="2"/>
          <w:sz w:val="32"/>
          <w:szCs w:val="32"/>
          <w:lang w:val="en-US" w:eastAsia="zh-CN" w:bidi="ar-SA"/>
        </w:rPr>
        <w:t>一是以模块化架构加强组织领导。以“党建统领+财政治理”工作机制为引领，积极发挥党委核心作用，由局党委牵头抓总，构建“决策引领—督查推动—执纪问效”的工作闭环，将绩效评价作为全局专项重点工作系统谋划推进。二是以多元化方式提升评价质量。改变以往由中介机构“单打独斗”的传统模式，在借助会计师事务所会计师等财务力量的同时，集结高级工程师、造价师、研究员等技术力量以及各领域专家学者，协同财政业务骨干，组成覆盖多个学科门类、更加专业化的综合性团队，有效增强评价人员力量，切实推动绩效评价从以往单纯的财务评价向全方位、全过程、全覆盖的综合评价转变。三是以协同化理念强化结果应用。一方面，及时对绩效评价的经验做法进行总结提炼，形成高质量的绩效评价专报，为党委政府决策提供参考，“三个一”全过程绩效评价及“四大专项”政策资金使用绩效评价工作均得到市领导充分肯定并作相关批示。另一方面，做好绩效评价的“后半篇文章”。对内，根据绩效评价发现的问题及相关线索，开展财政监督检查，进一步严肃财经纪律执行；对外，及时向部门反馈政策兑现、项目实施、资金使用等管理环节的绩效问题，督促部门落实整改、以评促改。</w:t>
      </w:r>
    </w:p>
    <w:p>
      <w:pPr>
        <w:pStyle w:val="2"/>
        <w:keepNext w:val="0"/>
        <w:keepLines w:val="0"/>
        <w:pageBreakBefore w:val="0"/>
        <w:kinsoku/>
        <w:wordWrap/>
        <w:overflowPunct/>
        <w:topLinePunct w:val="0"/>
        <w:autoSpaceDE/>
        <w:autoSpaceDN/>
        <w:bidi w:val="0"/>
        <w:adjustRightInd/>
        <w:spacing w:after="0" w:line="360" w:lineRule="auto"/>
        <w:ind w:left="0" w:leftChars="0" w:right="0" w:rightChars="0" w:firstLine="602"/>
        <w:jc w:val="both"/>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三、坚持一个“实”字，全方位夯实管理基础</w:t>
      </w:r>
    </w:p>
    <w:p>
      <w:pPr>
        <w:pStyle w:val="2"/>
        <w:keepNext w:val="0"/>
        <w:keepLines w:val="0"/>
        <w:pageBreakBefore w:val="0"/>
        <w:kinsoku/>
        <w:wordWrap/>
        <w:overflowPunct/>
        <w:topLinePunct w:val="0"/>
        <w:autoSpaceDE/>
        <w:autoSpaceDN/>
        <w:bidi w:val="0"/>
        <w:adjustRightInd/>
        <w:spacing w:after="0" w:line="360" w:lineRule="auto"/>
        <w:ind w:left="0" w:leftChars="0" w:right="0" w:rightChars="0" w:firstLine="602"/>
        <w:jc w:val="both"/>
        <w:textAlignment w:val="auto"/>
        <w:outlineLvl w:val="9"/>
        <w:rPr>
          <w:rFonts w:hint="eastAsia" w:ascii="仿宋_GB2312" w:hAnsi="仿宋_GB2312" w:eastAsia="仿宋_GB2312" w:cs="仿宋_GB2312"/>
          <w:bCs/>
          <w:sz w:val="32"/>
          <w:szCs w:val="32"/>
          <w:lang w:val="en-US" w:eastAsia="zh-CN"/>
        </w:rPr>
      </w:pPr>
      <w:bookmarkStart w:id="0" w:name="_GoBack"/>
      <w:r>
        <w:rPr>
          <w:rFonts w:hint="eastAsia" w:ascii="仿宋_GB2312" w:hAnsi="仿宋_GB2312" w:eastAsia="仿宋_GB2312" w:cs="仿宋_GB2312"/>
          <w:bCs/>
          <w:sz w:val="32"/>
          <w:szCs w:val="32"/>
          <w:lang w:eastAsia="zh-CN"/>
        </w:rPr>
        <w:t>一是</w:t>
      </w:r>
      <w:r>
        <w:rPr>
          <w:rFonts w:hint="eastAsia" w:ascii="仿宋_GB2312" w:hAnsi="仿宋_GB2312" w:eastAsia="仿宋_GB2312" w:cs="仿宋_GB2312"/>
          <w:bCs/>
          <w:sz w:val="32"/>
          <w:szCs w:val="32"/>
        </w:rPr>
        <w:t>突出关口前移。</w:t>
      </w:r>
      <w:r>
        <w:rPr>
          <w:rFonts w:hint="eastAsia" w:ascii="仿宋_GB2312" w:hAnsi="仿宋_GB2312" w:eastAsia="仿宋_GB2312" w:cs="仿宋_GB2312"/>
          <w:bCs/>
          <w:sz w:val="32"/>
          <w:szCs w:val="32"/>
        </w:rPr>
        <w:t>在前期对部门试点基础上，对2021年拟出台的</w:t>
      </w:r>
      <w:r>
        <w:rPr>
          <w:rFonts w:hint="eastAsia" w:ascii="仿宋_GB2312" w:hAnsi="仿宋_GB2312" w:eastAsia="仿宋_GB2312" w:cs="仿宋_GB2312"/>
          <w:bCs/>
          <w:sz w:val="32"/>
          <w:szCs w:val="32"/>
          <w:lang w:val="en-US" w:eastAsia="zh-CN"/>
        </w:rPr>
        <w:t>2千万元以上</w:t>
      </w:r>
      <w:r>
        <w:rPr>
          <w:rFonts w:hint="eastAsia" w:ascii="仿宋_GB2312" w:hAnsi="仿宋_GB2312" w:eastAsia="仿宋_GB2312" w:cs="仿宋_GB2312"/>
          <w:bCs/>
          <w:sz w:val="32"/>
          <w:szCs w:val="32"/>
        </w:rPr>
        <w:t>重大政策、新增</w:t>
      </w:r>
      <w:r>
        <w:rPr>
          <w:rFonts w:hint="eastAsia" w:ascii="仿宋_GB2312" w:hAnsi="仿宋_GB2312" w:eastAsia="仿宋_GB2312" w:cs="仿宋_GB2312"/>
          <w:bCs/>
          <w:sz w:val="32"/>
          <w:szCs w:val="32"/>
          <w:lang w:val="en-US" w:eastAsia="zh-CN"/>
        </w:rPr>
        <w:t>1亿元以上基建</w:t>
      </w:r>
      <w:r>
        <w:rPr>
          <w:rFonts w:hint="eastAsia" w:ascii="仿宋_GB2312" w:hAnsi="仿宋_GB2312" w:eastAsia="仿宋_GB2312" w:cs="仿宋_GB2312"/>
          <w:bCs/>
          <w:sz w:val="32"/>
          <w:szCs w:val="32"/>
        </w:rPr>
        <w:t>项目</w:t>
      </w:r>
      <w:r>
        <w:rPr>
          <w:rFonts w:hint="eastAsia" w:ascii="仿宋_GB2312" w:hAnsi="仿宋_GB2312" w:eastAsia="仿宋_GB2312" w:cs="仿宋_GB2312"/>
          <w:bCs/>
          <w:sz w:val="32"/>
          <w:szCs w:val="32"/>
          <w:lang w:eastAsia="zh-CN"/>
        </w:rPr>
        <w:t>及</w:t>
      </w:r>
      <w:r>
        <w:rPr>
          <w:rFonts w:hint="eastAsia" w:ascii="仿宋_GB2312" w:hAnsi="仿宋_GB2312" w:eastAsia="仿宋_GB2312" w:cs="仿宋_GB2312"/>
          <w:bCs/>
          <w:sz w:val="32"/>
          <w:szCs w:val="32"/>
          <w:lang w:val="en-US" w:eastAsia="zh-CN"/>
        </w:rPr>
        <w:t>5百万元以上其他项目</w:t>
      </w:r>
      <w:r>
        <w:rPr>
          <w:rFonts w:hint="eastAsia" w:ascii="仿宋_GB2312" w:hAnsi="仿宋_GB2312" w:eastAsia="仿宋_GB2312" w:cs="仿宋_GB2312"/>
          <w:bCs/>
          <w:sz w:val="32"/>
          <w:szCs w:val="32"/>
        </w:rPr>
        <w:t>，从立项必要性、投入经济性、绩效目标合理性、实施方案可行性、筹资合规性等5个维度，积极开展事前绩效评估，评估结果作为预算安排的重要依据。</w:t>
      </w:r>
      <w:r>
        <w:rPr>
          <w:rFonts w:hint="eastAsia" w:ascii="仿宋_GB2312" w:hAnsi="仿宋_GB2312" w:eastAsia="仿宋_GB2312" w:cs="仿宋_GB2312"/>
          <w:bCs/>
          <w:sz w:val="32"/>
          <w:szCs w:val="32"/>
          <w:lang w:val="en-US" w:eastAsia="zh-CN"/>
        </w:rPr>
        <w:t>通过再补充再审核，进一步完善指标库，导入预算编制系统供部门参考。以集中讲解、分预算口辅导、上门服务等多种方式开展绩效目标编制培训。</w:t>
      </w:r>
      <w:r>
        <w:rPr>
          <w:rFonts w:hint="eastAsia" w:ascii="仿宋_GB2312" w:hAnsi="仿宋_GB2312" w:eastAsia="仿宋_GB2312" w:cs="仿宋_GB2312"/>
          <w:bCs/>
          <w:sz w:val="32"/>
          <w:szCs w:val="32"/>
          <w:lang w:eastAsia="zh-CN"/>
        </w:rPr>
        <w:t>二是</w:t>
      </w:r>
      <w:r>
        <w:rPr>
          <w:rFonts w:hint="eastAsia" w:ascii="仿宋_GB2312" w:hAnsi="仿宋_GB2312" w:eastAsia="仿宋_GB2312" w:cs="仿宋_GB2312"/>
          <w:bCs/>
          <w:sz w:val="32"/>
          <w:szCs w:val="32"/>
        </w:rPr>
        <w:t>注重过程控制。借助“最多跑一次”改革和政府数字化转型，自主研发集管理、查询、服务、分析、应用等功能为一体的集中财力办大事数字应用平台，对接预算编制、资金申拨、集中支付、资产管理、政府采购等系统，嵌入绩效目标管理等功能，实现财政大数据与</w:t>
      </w:r>
      <w:r>
        <w:rPr>
          <w:rFonts w:hint="eastAsia" w:ascii="仿宋_GB2312" w:hAnsi="仿宋_GB2312" w:eastAsia="仿宋_GB2312" w:cs="仿宋_GB2312"/>
          <w:bCs/>
          <w:sz w:val="32"/>
          <w:szCs w:val="32"/>
          <w:lang w:eastAsia="zh-CN"/>
        </w:rPr>
        <w:t>预算</w:t>
      </w:r>
      <w:r>
        <w:rPr>
          <w:rFonts w:hint="eastAsia" w:ascii="仿宋_GB2312" w:hAnsi="仿宋_GB2312" w:eastAsia="仿宋_GB2312" w:cs="仿宋_GB2312"/>
          <w:bCs/>
          <w:sz w:val="32"/>
          <w:szCs w:val="32"/>
        </w:rPr>
        <w:t>绩效管理的有效融合。</w:t>
      </w:r>
      <w:r>
        <w:rPr>
          <w:rFonts w:hint="eastAsia" w:ascii="仿宋_GB2312" w:hAnsi="仿宋_GB2312" w:eastAsia="仿宋_GB2312" w:cs="仿宋_GB2312"/>
          <w:bCs/>
          <w:sz w:val="32"/>
          <w:szCs w:val="32"/>
          <w:lang w:eastAsia="zh-CN"/>
        </w:rPr>
        <w:t>其中，市本级以三</w:t>
      </w:r>
      <w:r>
        <w:rPr>
          <w:rFonts w:hint="eastAsia" w:ascii="仿宋_GB2312" w:hAnsi="仿宋_GB2312" w:eastAsia="仿宋_GB2312" w:cs="仿宋_GB2312"/>
          <w:bCs/>
          <w:sz w:val="32"/>
          <w:szCs w:val="32"/>
        </w:rPr>
        <w:t>季度</w:t>
      </w:r>
      <w:r>
        <w:rPr>
          <w:rFonts w:hint="eastAsia" w:ascii="仿宋_GB2312" w:hAnsi="仿宋_GB2312" w:eastAsia="仿宋_GB2312" w:cs="仿宋_GB2312"/>
          <w:bCs/>
          <w:sz w:val="32"/>
          <w:szCs w:val="32"/>
          <w:lang w:eastAsia="zh-CN"/>
        </w:rPr>
        <w:t>末为</w:t>
      </w:r>
      <w:r>
        <w:rPr>
          <w:rFonts w:hint="eastAsia" w:ascii="仿宋_GB2312" w:hAnsi="仿宋_GB2312" w:eastAsia="仿宋_GB2312" w:cs="仿宋_GB2312"/>
          <w:bCs/>
          <w:sz w:val="32"/>
          <w:szCs w:val="32"/>
        </w:rPr>
        <w:t>时间节点，强化绩效运行“双监控”，找准影响绩效目标实现的关键环节，提升预算执行的及时性、均衡性和有效性</w:t>
      </w:r>
      <w:r>
        <w:rPr>
          <w:rFonts w:hint="eastAsia" w:ascii="仿宋_GB2312" w:hAnsi="仿宋_GB2312" w:eastAsia="仿宋_GB2312" w:cs="仿宋_GB2312"/>
          <w:bCs/>
          <w:sz w:val="32"/>
          <w:szCs w:val="32"/>
          <w:lang w:eastAsia="zh-CN"/>
        </w:rPr>
        <w:t>，涉及</w:t>
      </w:r>
      <w:r>
        <w:rPr>
          <w:rFonts w:hint="eastAsia" w:ascii="仿宋_GB2312" w:hAnsi="仿宋_GB2312" w:eastAsia="仿宋_GB2312" w:cs="仿宋_GB2312"/>
          <w:bCs/>
          <w:sz w:val="32"/>
          <w:szCs w:val="32"/>
          <w:lang w:val="en-US" w:eastAsia="zh-CN"/>
        </w:rPr>
        <w:t>项目支出2063个，预算资金690471.97万元</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eastAsia="zh-CN"/>
        </w:rPr>
        <w:t>三是</w:t>
      </w:r>
      <w:r>
        <w:rPr>
          <w:rFonts w:hint="eastAsia" w:ascii="仿宋_GB2312" w:hAnsi="仿宋_GB2312" w:eastAsia="仿宋_GB2312" w:cs="仿宋_GB2312"/>
          <w:bCs/>
          <w:sz w:val="32"/>
          <w:szCs w:val="32"/>
        </w:rPr>
        <w:t>做实事后评价。</w:t>
      </w:r>
      <w:r>
        <w:rPr>
          <w:rFonts w:hint="eastAsia" w:ascii="仿宋_GB2312" w:hAnsi="仿宋_GB2312" w:eastAsia="仿宋_GB2312" w:cs="仿宋_GB2312"/>
          <w:bCs/>
          <w:sz w:val="32"/>
          <w:szCs w:val="32"/>
        </w:rPr>
        <w:t>通过精简内容、全程把关等方式持续提升部门绩效自评质量</w:t>
      </w:r>
      <w:r>
        <w:rPr>
          <w:rFonts w:hint="eastAsia" w:ascii="仿宋_GB2312" w:hAnsi="仿宋_GB2312" w:eastAsia="仿宋_GB2312" w:cs="仿宋_GB2312"/>
          <w:bCs/>
          <w:sz w:val="32"/>
          <w:szCs w:val="32"/>
          <w:lang w:eastAsia="zh-CN"/>
        </w:rPr>
        <w:t>。组织</w:t>
      </w:r>
      <w:r>
        <w:rPr>
          <w:rFonts w:hint="eastAsia" w:ascii="仿宋_GB2312" w:hAnsi="仿宋_GB2312" w:eastAsia="仿宋_GB2312" w:cs="仿宋_GB2312"/>
          <w:bCs/>
          <w:sz w:val="32"/>
          <w:szCs w:val="32"/>
        </w:rPr>
        <w:t>市</w:t>
      </w:r>
      <w:r>
        <w:rPr>
          <w:rFonts w:hint="eastAsia" w:ascii="仿宋_GB2312" w:hAnsi="仿宋_GB2312" w:eastAsia="仿宋_GB2312" w:cs="仿宋_GB2312"/>
          <w:bCs/>
          <w:sz w:val="32"/>
          <w:szCs w:val="32"/>
          <w:lang w:eastAsia="zh-CN"/>
        </w:rPr>
        <w:t>本</w:t>
      </w:r>
      <w:r>
        <w:rPr>
          <w:rFonts w:hint="eastAsia" w:ascii="仿宋_GB2312" w:hAnsi="仿宋_GB2312" w:eastAsia="仿宋_GB2312" w:cs="仿宋_GB2312"/>
          <w:bCs/>
          <w:sz w:val="32"/>
          <w:szCs w:val="32"/>
        </w:rPr>
        <w:t>级</w:t>
      </w:r>
      <w:r>
        <w:rPr>
          <w:rFonts w:hint="eastAsia" w:ascii="仿宋_GB2312" w:hAnsi="仿宋_GB2312" w:eastAsia="仿宋_GB2312" w:cs="仿宋_GB2312"/>
          <w:bCs/>
          <w:sz w:val="32"/>
          <w:szCs w:val="32"/>
          <w:lang w:eastAsia="zh-CN"/>
        </w:rPr>
        <w:t>所有</w:t>
      </w:r>
      <w:r>
        <w:rPr>
          <w:rFonts w:hint="eastAsia" w:ascii="仿宋_GB2312" w:hAnsi="仿宋_GB2312" w:eastAsia="仿宋_GB2312" w:cs="仿宋_GB2312"/>
          <w:bCs/>
          <w:sz w:val="32"/>
          <w:szCs w:val="32"/>
        </w:rPr>
        <w:t>部门</w:t>
      </w:r>
      <w:r>
        <w:rPr>
          <w:rFonts w:hint="eastAsia" w:ascii="仿宋_GB2312" w:hAnsi="仿宋_GB2312" w:eastAsia="仿宋_GB2312" w:cs="仿宋_GB2312"/>
          <w:bCs/>
          <w:sz w:val="32"/>
          <w:szCs w:val="32"/>
          <w:lang w:eastAsia="zh-CN"/>
        </w:rPr>
        <w:t>对</w:t>
      </w:r>
      <w:r>
        <w:rPr>
          <w:rFonts w:hint="eastAsia" w:ascii="仿宋_GB2312" w:hAnsi="仿宋_GB2312" w:eastAsia="仿宋_GB2312" w:cs="仿宋_GB2312"/>
          <w:bCs/>
          <w:sz w:val="32"/>
          <w:szCs w:val="32"/>
          <w:lang w:val="en-US" w:eastAsia="zh-CN"/>
        </w:rPr>
        <w:t>2019年度</w:t>
      </w:r>
      <w:r>
        <w:rPr>
          <w:rFonts w:hint="eastAsia" w:ascii="仿宋_GB2312" w:hAnsi="仿宋_GB2312" w:eastAsia="仿宋_GB2312" w:cs="仿宋_GB2312"/>
          <w:bCs/>
          <w:sz w:val="32"/>
          <w:szCs w:val="32"/>
        </w:rPr>
        <w:t>项目</w:t>
      </w:r>
      <w:r>
        <w:rPr>
          <w:rFonts w:hint="eastAsia" w:ascii="仿宋_GB2312" w:hAnsi="仿宋_GB2312" w:eastAsia="仿宋_GB2312" w:cs="仿宋_GB2312"/>
          <w:bCs/>
          <w:sz w:val="32"/>
          <w:szCs w:val="32"/>
          <w:lang w:eastAsia="zh-CN"/>
        </w:rPr>
        <w:t>支出开展自评</w:t>
      </w:r>
      <w:r>
        <w:rPr>
          <w:rFonts w:hint="eastAsia" w:ascii="仿宋_GB2312" w:hAnsi="仿宋_GB2312" w:eastAsia="仿宋_GB2312" w:cs="仿宋_GB2312"/>
          <w:bCs/>
          <w:sz w:val="32"/>
          <w:szCs w:val="32"/>
        </w:rPr>
        <w:t>，涉及</w:t>
      </w:r>
      <w:r>
        <w:rPr>
          <w:rFonts w:hint="eastAsia" w:ascii="仿宋_GB2312" w:hAnsi="仿宋_GB2312" w:eastAsia="仿宋_GB2312" w:cs="仿宋_GB2312"/>
          <w:bCs/>
          <w:sz w:val="32"/>
          <w:szCs w:val="32"/>
          <w:lang w:eastAsia="zh-CN"/>
        </w:rPr>
        <w:t>部门</w:t>
      </w:r>
      <w:r>
        <w:rPr>
          <w:rFonts w:hint="eastAsia" w:ascii="仿宋_GB2312" w:hAnsi="仿宋_GB2312" w:eastAsia="仿宋_GB2312" w:cs="仿宋_GB2312"/>
          <w:bCs/>
          <w:sz w:val="32"/>
          <w:szCs w:val="32"/>
          <w:lang w:val="en-US" w:eastAsia="zh-CN"/>
        </w:rPr>
        <w:t>83个，项目2075个，</w:t>
      </w:r>
      <w:r>
        <w:rPr>
          <w:rFonts w:hint="eastAsia" w:ascii="仿宋_GB2312" w:hAnsi="仿宋_GB2312" w:eastAsia="仿宋_GB2312" w:cs="仿宋_GB2312"/>
          <w:bCs/>
          <w:sz w:val="32"/>
          <w:szCs w:val="32"/>
        </w:rPr>
        <w:t>资金63.17亿元</w:t>
      </w:r>
      <w:r>
        <w:rPr>
          <w:rFonts w:hint="eastAsia" w:ascii="仿宋_GB2312" w:hAnsi="仿宋_GB2312" w:eastAsia="仿宋_GB2312" w:cs="仿宋_GB2312"/>
          <w:bCs/>
          <w:sz w:val="32"/>
          <w:szCs w:val="32"/>
          <w:lang w:val="en-US" w:eastAsia="zh-CN"/>
        </w:rPr>
        <w:t>,实现部门、资金“双覆盖”，并随机选取其中210个项目开展实地抽评，自评质量、抽评结果情况在市级部门单位范围内进行通报，对</w:t>
      </w:r>
      <w:r>
        <w:rPr>
          <w:rFonts w:hint="eastAsia" w:ascii="仿宋_GB2312" w:hAnsi="仿宋_GB2312" w:eastAsia="仿宋_GB2312" w:cs="仿宋_GB2312"/>
          <w:bCs/>
          <w:sz w:val="32"/>
          <w:szCs w:val="32"/>
          <w:lang w:eastAsia="zh-CN"/>
        </w:rPr>
        <w:t>抽评结论为“一般”和“差”的</w:t>
      </w:r>
      <w:r>
        <w:rPr>
          <w:rFonts w:hint="eastAsia" w:ascii="仿宋_GB2312" w:hAnsi="仿宋_GB2312" w:eastAsia="仿宋_GB2312" w:cs="仿宋_GB2312"/>
          <w:bCs/>
          <w:sz w:val="32"/>
          <w:szCs w:val="32"/>
          <w:lang w:val="en-US" w:eastAsia="zh-CN"/>
        </w:rPr>
        <w:t>35个</w:t>
      </w:r>
      <w:r>
        <w:rPr>
          <w:rFonts w:hint="eastAsia" w:ascii="仿宋_GB2312" w:hAnsi="仿宋_GB2312" w:eastAsia="仿宋_GB2312" w:cs="仿宋_GB2312"/>
          <w:bCs/>
          <w:sz w:val="32"/>
          <w:szCs w:val="32"/>
          <w:lang w:eastAsia="zh-CN"/>
        </w:rPr>
        <w:t>项目</w:t>
      </w:r>
      <w:r>
        <w:rPr>
          <w:rFonts w:hint="eastAsia" w:ascii="仿宋_GB2312" w:hAnsi="仿宋_GB2312" w:eastAsia="仿宋_GB2312" w:cs="仿宋_GB2312"/>
          <w:bCs/>
          <w:sz w:val="32"/>
          <w:szCs w:val="32"/>
          <w:lang w:val="en-US" w:eastAsia="zh-CN"/>
        </w:rPr>
        <w:t>，要求限期整改。</w:t>
      </w:r>
      <w:r>
        <w:rPr>
          <w:rFonts w:hint="eastAsia" w:ascii="仿宋_GB2312" w:hAnsi="仿宋_GB2312" w:eastAsia="仿宋_GB2312" w:cs="仿宋_GB2312"/>
          <w:bCs/>
          <w:sz w:val="32"/>
          <w:szCs w:val="32"/>
        </w:rPr>
        <w:t>开展对下级政府财政运行、部门整体支出、政府投资项目的综合绩效评价工作，将全省高质量发展指标和政府综合考核结果融入评价体系，着力解决政府绩效和预算绩效融合难题。</w:t>
      </w:r>
    </w:p>
    <w:bookmarkEnd w:id="0"/>
    <w:sectPr>
      <w:headerReference r:id="rId3" w:type="default"/>
      <w:footerReference r:id="rId4" w:type="default"/>
      <w:pgSz w:w="11906" w:h="16838"/>
      <w:pgMar w:top="1723" w:right="1800" w:bottom="1723" w:left="1800"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姚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汉仪中秀体简">
    <w:panose1 w:val="00020600040101010101"/>
    <w:charset w:val="86"/>
    <w:family w:val="auto"/>
    <w:pitch w:val="default"/>
    <w:sig w:usb0="A00002BF" w:usb1="1ACF7CFA" w:usb2="00000016" w:usb3="00000000" w:csb0="0004009F" w:csb1="00000000"/>
  </w:font>
  <w:font w:name="汉仪仿宋简">
    <w:panose1 w:val="02010600000101010101"/>
    <w:charset w:val="86"/>
    <w:family w:val="auto"/>
    <w:pitch w:val="default"/>
    <w:sig w:usb0="00000001" w:usb1="080E0800" w:usb2="00000002" w:usb3="00000000" w:csb0="00040000" w:csb1="00000000"/>
  </w:font>
  <w:font w:name="汉仪大黑简">
    <w:panose1 w:val="02010600000101010101"/>
    <w:charset w:val="86"/>
    <w:family w:val="auto"/>
    <w:pitch w:val="default"/>
    <w:sig w:usb0="00000001" w:usb1="080E0800" w:usb2="00000002" w:usb3="00000000" w:csb0="00040000" w:csb1="00000000"/>
  </w:font>
  <w:font w:name="汉仪旗黑-30简">
    <w:panose1 w:val="00020600040101010101"/>
    <w:charset w:val="86"/>
    <w:family w:val="auto"/>
    <w:pitch w:val="default"/>
    <w:sig w:usb0="A00002BF" w:usb1="1ACF7CFA" w:usb2="00000016" w:usb3="00000000" w:csb0="0004009F" w:csb1="DFD7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小标宋_GBK">
    <w:panose1 w:val="02000000000000000000"/>
    <w:charset w:val="86"/>
    <w:family w:val="auto"/>
    <w:pitch w:val="default"/>
    <w:sig w:usb0="00000001" w:usb1="08000000" w:usb2="00000000" w:usb3="00000000" w:csb0="00040000" w:csb1="00000000"/>
  </w:font>
  <w:font w:name="方正魏碑_GBK">
    <w:panose1 w:val="02000000000000000000"/>
    <w:charset w:val="86"/>
    <w:family w:val="auto"/>
    <w:pitch w:val="default"/>
    <w:sig w:usb0="00000001" w:usb1="08000000" w:usb2="00000000" w:usb3="00000000" w:csb0="00040000" w:csb1="00000000"/>
  </w:font>
  <w:font w:name="汉仪中简黑简">
    <w:panose1 w:val="00020600040101010101"/>
    <w:charset w:val="86"/>
    <w:family w:val="auto"/>
    <w:pitch w:val="default"/>
    <w:sig w:usb0="A00002BF" w:usb1="18EF7CFA" w:usb2="00000016" w:usb3="00000000" w:csb0="00040000" w:csb1="00000000"/>
  </w:font>
  <w:font w:name="汉仪仿宋S">
    <w:panose1 w:val="00020600040101000101"/>
    <w:charset w:val="86"/>
    <w:family w:val="auto"/>
    <w:pitch w:val="default"/>
    <w:sig w:usb0="A00002BF" w:usb1="38CF7CFA" w:usb2="00000016" w:usb3="00000000" w:csb0="0004009F" w:csb1="00000000"/>
  </w:font>
  <w:font w:name="汉仪君黑-35简">
    <w:panose1 w:val="020B0604020202020204"/>
    <w:charset w:val="86"/>
    <w:family w:val="auto"/>
    <w:pitch w:val="default"/>
    <w:sig w:usb0="A00002BF" w:usb1="0ACF7CFA" w:usb2="00000016" w:usb3="00000000" w:csb0="2004000F" w:csb1="00000000"/>
  </w:font>
  <w:font w:name="汉仪平安行粗简">
    <w:panose1 w:val="00020600040101010101"/>
    <w:charset w:val="86"/>
    <w:family w:val="auto"/>
    <w:pitch w:val="default"/>
    <w:sig w:usb0="A00002BF" w:usb1="18EF7CFA" w:usb2="00000016" w:usb3="00000000" w:csb0="00040000" w:csb1="00000000"/>
  </w:font>
  <w:font w:name="汉仪旗黑-35简">
    <w:panose1 w:val="00020600040101010101"/>
    <w:charset w:val="86"/>
    <w:family w:val="auto"/>
    <w:pitch w:val="default"/>
    <w:sig w:usb0="A00002BF" w:usb1="1ACF7CFA" w:usb2="00000016" w:usb3="00000000" w:csb0="00040000" w:csb1="00000000"/>
  </w:font>
  <w:font w:name="汉仪瑞意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- 1 -</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AB451C"/>
    <w:rsid w:val="121367C1"/>
    <w:rsid w:val="13971930"/>
    <w:rsid w:val="15307FDF"/>
    <w:rsid w:val="18B07445"/>
    <w:rsid w:val="1E7E46AF"/>
    <w:rsid w:val="1EA7059B"/>
    <w:rsid w:val="2A660EF0"/>
    <w:rsid w:val="2CDF2440"/>
    <w:rsid w:val="2D212AD9"/>
    <w:rsid w:val="32A0749B"/>
    <w:rsid w:val="344E571F"/>
    <w:rsid w:val="395951E7"/>
    <w:rsid w:val="42FD31F3"/>
    <w:rsid w:val="4AA47543"/>
    <w:rsid w:val="5BF5FACD"/>
    <w:rsid w:val="5EA2598F"/>
    <w:rsid w:val="6A910BA3"/>
    <w:rsid w:val="6C233538"/>
    <w:rsid w:val="6D252602"/>
    <w:rsid w:val="79DA1D5B"/>
    <w:rsid w:val="B97F5F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qFormat/>
    <w:uiPriority w:val="0"/>
    <w:pPr>
      <w:snapToGrid w:val="0"/>
      <w:jc w:val="left"/>
    </w:pPr>
    <w:rPr>
      <w:sz w:val="18"/>
      <w:szCs w:val="18"/>
    </w:rPr>
  </w:style>
  <w:style w:type="paragraph" w:customStyle="1" w:styleId="9">
    <w:name w:val="正文1"/>
    <w:qFormat/>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dc:creator>
  <cp:lastModifiedBy>quzhou</cp:lastModifiedBy>
  <cp:lastPrinted>2021-01-05T20:21:00Z</cp:lastPrinted>
  <dcterms:modified xsi:type="dcterms:W3CDTF">2022-06-17T15:37:36Z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