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0" w:beforeAutospacing="0" w:after="0" w:afterAutospacing="0" w:line="675" w:lineRule="atLeast"/>
        <w:ind w:left="0" w:right="0"/>
        <w:jc w:val="center"/>
        <w:rPr>
          <w:b w:val="0"/>
          <w:bCs w:val="0"/>
          <w:sz w:val="45"/>
          <w:szCs w:val="45"/>
        </w:rPr>
      </w:pPr>
      <w:bookmarkStart w:id="0" w:name="_GoBack"/>
      <w:r>
        <w:rPr>
          <w:b w:val="0"/>
          <w:bCs w:val="0"/>
          <w:color w:val="333333"/>
          <w:sz w:val="45"/>
          <w:szCs w:val="45"/>
          <w:shd w:val="clear" w:fill="FFFFFF"/>
        </w:rPr>
        <w:t>中华人民共和国国务院令第738号</w:t>
      </w:r>
    </w:p>
    <w:bookmarkEnd w:id="0"/>
    <w:p>
      <w:pPr>
        <w:keepNext w:val="0"/>
        <w:keepLines w:val="0"/>
        <w:widowControl/>
        <w:suppressLineNumbers w:val="0"/>
        <w:pBdr>
          <w:top w:val="none" w:color="auto" w:sz="0" w:space="0"/>
          <w:bottom w:val="none" w:color="auto" w:sz="0" w:space="0"/>
        </w:pBdr>
        <w:shd w:val="clear" w:fill="FFFFFF"/>
        <w:spacing w:before="0" w:beforeAutospacing="0" w:after="300" w:afterAutospacing="0" w:line="600" w:lineRule="atLeast"/>
        <w:ind w:left="0" w:right="0"/>
        <w:jc w:val="center"/>
        <w:rPr>
          <w:rFonts w:hint="eastAsia" w:ascii="微软雅黑" w:hAnsi="微软雅黑" w:eastAsia="微软雅黑" w:cs="微软雅黑"/>
          <w:color w:val="333333"/>
          <w:sz w:val="22"/>
          <w:szCs w:val="22"/>
        </w:rPr>
      </w:pPr>
      <w:r>
        <w:rPr>
          <w:rFonts w:hint="eastAsia" w:ascii="微软雅黑" w:hAnsi="微软雅黑" w:eastAsia="微软雅黑" w:cs="微软雅黑"/>
          <w:kern w:val="0"/>
          <w:sz w:val="22"/>
          <w:szCs w:val="22"/>
          <w:shd w:val="clear" w:fill="FFFFFF"/>
          <w:lang w:val="en-US" w:eastAsia="zh-CN" w:bidi="ar"/>
        </w:rPr>
        <w:fldChar w:fldCharType="begin"/>
      </w:r>
      <w:r>
        <w:rPr>
          <w:rFonts w:hint="eastAsia" w:ascii="微软雅黑" w:hAnsi="微软雅黑" w:eastAsia="微软雅黑" w:cs="微软雅黑"/>
          <w:kern w:val="0"/>
          <w:sz w:val="22"/>
          <w:szCs w:val="22"/>
          <w:shd w:val="clear" w:fill="FFFFFF"/>
          <w:lang w:val="en-US" w:eastAsia="zh-CN" w:bidi="ar"/>
        </w:rPr>
        <w:instrText xml:space="preserve"> HYPERLINK "http://www.mof.gov.cn/zhengwuxinxi/caizhengxinwen/202103/t20210318_3672440.htm" \o "分享到新浪微博" </w:instrText>
      </w:r>
      <w:r>
        <w:rPr>
          <w:rFonts w:hint="eastAsia" w:ascii="微软雅黑" w:hAnsi="微软雅黑" w:eastAsia="微软雅黑" w:cs="微软雅黑"/>
          <w:kern w:val="0"/>
          <w:sz w:val="22"/>
          <w:szCs w:val="22"/>
          <w:shd w:val="clear" w:fill="FFFFFF"/>
          <w:lang w:val="en-US" w:eastAsia="zh-CN" w:bidi="ar"/>
        </w:rPr>
        <w:fldChar w:fldCharType="separate"/>
      </w:r>
      <w:r>
        <w:rPr>
          <w:rFonts w:hint="eastAsia" w:ascii="微软雅黑" w:hAnsi="微软雅黑" w:eastAsia="微软雅黑" w:cs="微软雅黑"/>
          <w:kern w:val="0"/>
          <w:sz w:val="22"/>
          <w:szCs w:val="22"/>
          <w:shd w:val="clear" w:fill="FFFFFF"/>
          <w:lang w:val="en-US" w:eastAsia="zh-CN" w:bidi="ar"/>
        </w:rPr>
        <w:fldChar w:fldCharType="end"/>
      </w:r>
      <w:r>
        <w:rPr>
          <w:rFonts w:hint="eastAsia" w:ascii="微软雅黑" w:hAnsi="微软雅黑" w:eastAsia="微软雅黑" w:cs="微软雅黑"/>
          <w:kern w:val="0"/>
          <w:sz w:val="22"/>
          <w:szCs w:val="22"/>
          <w:shd w:val="clear" w:fill="FFFFFF"/>
          <w:lang w:val="en-US" w:eastAsia="zh-CN" w:bidi="ar"/>
        </w:rPr>
        <w:fldChar w:fldCharType="begin"/>
      </w:r>
      <w:r>
        <w:rPr>
          <w:rFonts w:hint="eastAsia" w:ascii="微软雅黑" w:hAnsi="微软雅黑" w:eastAsia="微软雅黑" w:cs="微软雅黑"/>
          <w:kern w:val="0"/>
          <w:sz w:val="22"/>
          <w:szCs w:val="22"/>
          <w:shd w:val="clear" w:fill="FFFFFF"/>
          <w:lang w:val="en-US" w:eastAsia="zh-CN" w:bidi="ar"/>
        </w:rPr>
        <w:instrText xml:space="preserve"> HYPERLINK "http://www.mof.gov.cn/zhengwuxinxi/caizhengxinwen/202103/t20210318_3672440.htm" \o "分享到微信" </w:instrText>
      </w:r>
      <w:r>
        <w:rPr>
          <w:rFonts w:hint="eastAsia" w:ascii="微软雅黑" w:hAnsi="微软雅黑" w:eastAsia="微软雅黑" w:cs="微软雅黑"/>
          <w:kern w:val="0"/>
          <w:sz w:val="22"/>
          <w:szCs w:val="22"/>
          <w:shd w:val="clear" w:fill="FFFFFF"/>
          <w:lang w:val="en-US" w:eastAsia="zh-CN" w:bidi="ar"/>
        </w:rPr>
        <w:fldChar w:fldCharType="separate"/>
      </w:r>
      <w:r>
        <w:rPr>
          <w:rFonts w:hint="eastAsia" w:ascii="微软雅黑" w:hAnsi="微软雅黑" w:eastAsia="微软雅黑" w:cs="微软雅黑"/>
          <w:kern w:val="0"/>
          <w:sz w:val="22"/>
          <w:szCs w:val="22"/>
          <w:shd w:val="clear" w:fill="FFFFFF"/>
          <w:lang w:val="en-US" w:eastAsia="zh-CN" w:bidi="ar"/>
        </w:rPr>
        <w:fldChar w:fldCharType="end"/>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《行政事业性国有资产管理条例》已经2020年12月30日国务院第120次常务会议通过，现予公布，自2021年4月1日起施行。</w:t>
      </w:r>
    </w:p>
    <w:p>
      <w:pPr>
        <w:pStyle w:val="3"/>
        <w:keepNext w:val="0"/>
        <w:keepLines w:val="0"/>
        <w:widowControl/>
        <w:suppressLineNumbers w:val="0"/>
        <w:spacing w:before="0" w:beforeAutospacing="0" w:after="210" w:afterAutospacing="0" w:line="27" w:lineRule="atLeast"/>
        <w:ind w:left="0" w:right="0"/>
        <w:jc w:val="right"/>
        <w:rPr>
          <w:rFonts w:hint="eastAsia" w:ascii="宋体" w:hAnsi="宋体" w:eastAsia="宋体" w:cs="宋体"/>
          <w:sz w:val="24"/>
          <w:szCs w:val="24"/>
        </w:rPr>
      </w:pPr>
      <w:r>
        <w:rPr>
          <w:rFonts w:hint="eastAsia" w:ascii="宋体" w:hAnsi="宋体" w:eastAsia="宋体" w:cs="宋体"/>
          <w:color w:val="333333"/>
          <w:sz w:val="24"/>
          <w:szCs w:val="24"/>
          <w:shd w:val="clear" w:fill="FFFFFF"/>
        </w:rPr>
        <w:t>　　总　理　　李克强</w:t>
      </w:r>
    </w:p>
    <w:p>
      <w:pPr>
        <w:pStyle w:val="3"/>
        <w:keepNext w:val="0"/>
        <w:keepLines w:val="0"/>
        <w:widowControl/>
        <w:suppressLineNumbers w:val="0"/>
        <w:spacing w:before="0" w:beforeAutospacing="0" w:after="210" w:afterAutospacing="0" w:line="27" w:lineRule="atLeast"/>
        <w:ind w:left="0" w:right="0"/>
        <w:jc w:val="right"/>
        <w:rPr>
          <w:rFonts w:hint="eastAsia" w:ascii="宋体" w:hAnsi="宋体" w:eastAsia="宋体" w:cs="宋体"/>
          <w:sz w:val="24"/>
          <w:szCs w:val="24"/>
        </w:rPr>
      </w:pPr>
      <w:r>
        <w:rPr>
          <w:rFonts w:hint="eastAsia" w:ascii="宋体" w:hAnsi="宋体" w:eastAsia="宋体" w:cs="宋体"/>
          <w:color w:val="333333"/>
          <w:sz w:val="24"/>
          <w:szCs w:val="24"/>
          <w:shd w:val="clear" w:fill="FFFFFF"/>
        </w:rPr>
        <w:t>　　2021年2月1日</w:t>
      </w:r>
    </w:p>
    <w:p>
      <w:pPr>
        <w:pStyle w:val="3"/>
        <w:keepNext w:val="0"/>
        <w:keepLines w:val="0"/>
        <w:widowControl/>
        <w:suppressLineNumbers w:val="0"/>
        <w:spacing w:before="0" w:beforeAutospacing="0" w:after="210" w:afterAutospacing="0" w:line="27" w:lineRule="atLeast"/>
        <w:ind w:left="0" w:right="0"/>
        <w:jc w:val="center"/>
        <w:rPr>
          <w:rFonts w:hint="eastAsia" w:ascii="宋体" w:hAnsi="宋体" w:eastAsia="宋体" w:cs="宋体"/>
          <w:sz w:val="24"/>
          <w:szCs w:val="24"/>
        </w:rPr>
      </w:pPr>
      <w:r>
        <w:rPr>
          <w:rStyle w:val="6"/>
          <w:rFonts w:hint="eastAsia" w:ascii="宋体" w:hAnsi="宋体" w:eastAsia="宋体" w:cs="宋体"/>
          <w:color w:val="333333"/>
          <w:sz w:val="24"/>
          <w:szCs w:val="24"/>
          <w:shd w:val="clear" w:fill="FFFFFF"/>
        </w:rPr>
        <w:t>行政事业性国有资产管理条例</w:t>
      </w:r>
    </w:p>
    <w:p>
      <w:pPr>
        <w:pStyle w:val="3"/>
        <w:keepNext w:val="0"/>
        <w:keepLines w:val="0"/>
        <w:widowControl/>
        <w:suppressLineNumbers w:val="0"/>
        <w:spacing w:before="0" w:beforeAutospacing="0" w:after="210" w:afterAutospacing="0" w:line="27" w:lineRule="atLeast"/>
        <w:ind w:left="0" w:right="0"/>
        <w:jc w:val="center"/>
        <w:rPr>
          <w:rFonts w:hint="eastAsia" w:ascii="宋体" w:hAnsi="宋体" w:eastAsia="宋体" w:cs="宋体"/>
          <w:sz w:val="24"/>
          <w:szCs w:val="24"/>
        </w:rPr>
      </w:pPr>
      <w:r>
        <w:rPr>
          <w:rStyle w:val="6"/>
          <w:rFonts w:hint="eastAsia" w:ascii="宋体" w:hAnsi="宋体" w:eastAsia="宋体" w:cs="宋体"/>
          <w:color w:val="333333"/>
          <w:sz w:val="24"/>
          <w:szCs w:val="24"/>
          <w:shd w:val="clear" w:fill="FFFFFF"/>
        </w:rPr>
        <w:t>第一章　总　则</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第一条　为了加强行政事业性国有资产管理与监督，健全国有资产管理体制，推进国家治理体系和治理能力现代化，根据全国人民代表大会常务委员会关于加强国有资产管理情况监督的决定，制定本条例。</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第二条　行政事业性国有资产，是指行政单位、事业单位通过以下方式取得或者形成的资产：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（一）使用财政资金形成的资产；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（二）接受调拨或者划转、置换形成的资产；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（三）接受捐赠并确认为国有的资产；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（四）其他国有资产。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第三条　行政事业性国有资产属于国家所有，实行政府分级监管、各部门及其所属单位直接支配的管理体制。</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第四条　各级人民政府应当建立健全行政事业性国有资产管理机制，加强对本级行政事业性国有资产的管理，审查、批准重大行政事业性国有资产管理事项。</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第五条 国务院财政部门负责制定行政事业单位国有资产管理规章制度并负责组织实施和监督检查，牵头编制行政事业性国有资产管理情况报告。</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相关部门根据职责规定，按照集中统一、分类分级原则，加强中央行政事业单位国有资产管理，优化管理手段，提高管理效率。</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第六条　各部门根据职责负责本部门及其所属单位国有资产管理工作，应当明确管理责任，指导、监督所属单位国有资产管理工作。</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各部门所属单位负责本单位行政事业性国有资产的具体管理，应当建立和完善内部控制管理制度。</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第七条　各部门及其所属单位管理行政事业性国有资产应当遵循安全规范、节约高效、公开透明、权责一致的原则，实现实物管理与价值管理相统一，资产管理与预算管理、财务管理相结合。</w:t>
      </w:r>
    </w:p>
    <w:p>
      <w:pPr>
        <w:pStyle w:val="3"/>
        <w:keepNext w:val="0"/>
        <w:keepLines w:val="0"/>
        <w:widowControl/>
        <w:suppressLineNumbers w:val="0"/>
        <w:spacing w:before="0" w:beforeAutospacing="0" w:after="210" w:afterAutospacing="0" w:line="27" w:lineRule="atLeast"/>
        <w:ind w:left="0" w:right="0"/>
        <w:jc w:val="center"/>
        <w:rPr>
          <w:rFonts w:hint="eastAsia" w:ascii="宋体" w:hAnsi="宋体" w:eastAsia="宋体" w:cs="宋体"/>
          <w:sz w:val="24"/>
          <w:szCs w:val="24"/>
        </w:rPr>
      </w:pPr>
      <w:r>
        <w:rPr>
          <w:rStyle w:val="6"/>
          <w:rFonts w:hint="eastAsia" w:ascii="宋体" w:hAnsi="宋体" w:eastAsia="宋体" w:cs="宋体"/>
          <w:color w:val="333333"/>
          <w:sz w:val="24"/>
          <w:szCs w:val="24"/>
          <w:shd w:val="clear" w:fill="FFFFFF"/>
        </w:rPr>
        <w:t>第二章　资产配置、使用和处置</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第八条　各部门及其所属单位应当根据依法履行职能和事业发展的需要，结合资产存量、资产配置标准、绩效目标和财政承受能力配置资产。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第九条　各部门及其所属单位应当合理选择资产配置方式，资产配置重大事项应当经可行性研究和集体决策，资产价值较高的按照国家有关规定进行资产评估，并履行审批程序。</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资产配置包括调剂、购置、建设、租用、接受捐赠等方式。</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第十条　县级以上人民政府应当组织建立、完善资产配置标准体系，明确配置的数量、价值、等级、最低使用年限等标准。</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资产配置标准应当按照勤俭节约、讲求绩效和绿色环保的要求，根据国家有关政策、经济社会发展水平、市场价格变化、科学技术进步等因素适时调整。</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第十一条　各部门及其所属单位应当优先通过调剂方式配置资产。不能调剂的，可以采用购置、建设、租用等方式。</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第十二条　行政单位国有资产应当用于本单位履行职能的需要。</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除法律另有规定外，行政单位不得以任何形式将国有资产用于对外投资或者设立营利性组织。</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第十三条　事业单位国有资产应当用于保障事业发展、提供公共服务。</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第十四条　各部门及其所属单位应当加强对本单位固定资产、在建工程、流动资产、无形资产等各类国有资产的管理，明确管理责任，规范使用流程，加强产权保护，推进相关资产安全有效使用。</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第十五条　各部门及其所属单位应当明确资产使用人和管理人的岗位责任。</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资产使用人、管理人应当履行岗位责任，按照规程合理使用、管理资产，充分发挥资产效能。资产需要维修、保养、调剂、更新、报废的，资产使用人、管理人应当及时提出。</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资产使用人、管理人发生变化的，应当及时办理资产交接手续。</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第十六条　各部门及其所属单位接受捐赠的资产，应当按照捐赠约定的用途使用。捐赠人意愿不明确或者没有约定用途的，应当统筹安排使用。</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第十七条　事业单位利用国有资产对外投资应当有利于事业发展和实现国有资产保值增值，符合国家有关规定，经可行性研究和集体决策，按照规定权限和程序进行。</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事业单位应当明确对外投资形成的股权及其相关权益管理责任，按照规定将对外投资形成的股权纳入经营性国有资产集中统一监管体系。</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第十八条　县级以上人民政府及其有关部门应当建立健全国有资产共享共用机制，采取措施引导和鼓励国有资产共享共用，统筹规划有效推进国有资产共享共用工作。</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各部门及其所属单位应当在确保安全使用的前提下，推进本单位大型设备等国有资产共享共用工作，可以对提供方给予合理补偿。</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第十九条　各部门及其所属单位应当根据履行职能、事业发展需要和资产使用状况，经集体决策和履行审批程序，依据处置事项批复等相关文件及时处置行政事业性国有资产。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第二十条　各部门及其所属单位应当将依法罚没的资产按照国家规定公开拍卖或者按照国家有关规定处理，所得款项全部上缴国库。</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第二十一条　各部门及其所属单位应当对下列资产及时予以报废、报损：</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（一）因技术原因确需淘汰或者无法维修、无维修价值的资产；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（二）涉及盘亏、坏账以及非正常损失的资产；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（三）已超过使用年限且无法满足现有工作需要的资产；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（四）因自然灾害等不可抗力造成毁损、灭失的资产。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第二十二条　各部门及其所属单位发生分立、合并、改制、撤销、隶属关系改变或者部分职能、业务调整等情形，应当根据国家有关规定办理相关国有资产划转、交接手续。</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第二十三条　国家设立的研究开发机构、高等院校对其持有的科技成果的使用和处置，依照《中华人民共和国促进科技成果转化法》、《中华人民共和国专利法》和国家有关规定执行。</w:t>
      </w:r>
    </w:p>
    <w:p>
      <w:pPr>
        <w:pStyle w:val="3"/>
        <w:keepNext w:val="0"/>
        <w:keepLines w:val="0"/>
        <w:widowControl/>
        <w:suppressLineNumbers w:val="0"/>
        <w:spacing w:before="0" w:beforeAutospacing="0" w:after="210" w:afterAutospacing="0" w:line="27" w:lineRule="atLeast"/>
        <w:ind w:left="0" w:right="0"/>
        <w:jc w:val="center"/>
        <w:rPr>
          <w:rFonts w:hint="eastAsia" w:ascii="宋体" w:hAnsi="宋体" w:eastAsia="宋体" w:cs="宋体"/>
          <w:sz w:val="24"/>
          <w:szCs w:val="24"/>
        </w:rPr>
      </w:pPr>
      <w:r>
        <w:rPr>
          <w:rStyle w:val="6"/>
          <w:rFonts w:hint="eastAsia" w:ascii="宋体" w:hAnsi="宋体" w:eastAsia="宋体" w:cs="宋体"/>
          <w:color w:val="333333"/>
          <w:sz w:val="24"/>
          <w:szCs w:val="24"/>
          <w:shd w:val="clear" w:fill="FFFFFF"/>
        </w:rPr>
        <w:t>第三章　预算管理</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第二十四条　各部门及其所属单位购置、建设、租用资产应当提出资产配置需求，编制资产配置相关支出预算，并严格按照预算管理规定和财政部门批复的预算配置资产。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第二十五条　行政单位国有资产出租和处置等收入，应当按照政府非税收入和国库集中收缴制度的有关规定管理。</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除国家另有规定外，事业单位国有资产的处置收入应当按照政府非税收入和国库集中收缴制度的有关规定管理。</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事业单位国有资产使用形成的收入，由本级人民政府财政部门规定具体管理办法。</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第二十六条　各部门及其所属单位应当及时收取各类资产收入，不得违反国家规定，多收、少收、不收、侵占、私分、截留、占用、挪用、隐匿、坐支。</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第二十七条　各部门及其所属单位应当在决算中全面、真实、准确反映其国有资产收入、支出以及国有资产存量情况。</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第二十八条　各部门及其所属单位应当按照国家规定建立国有资产绩效管理制度，建立健全绩效指标和标准，有序开展国有资产绩效管理工作。</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第二十九条　县级以上人民政府投资建设公共基础设施，应当依法落实资金来源，加强预算约束，防范政府债务风险，并明确公共基础设施的管理维护责任单位。</w:t>
      </w:r>
    </w:p>
    <w:p>
      <w:pPr>
        <w:pStyle w:val="3"/>
        <w:keepNext w:val="0"/>
        <w:keepLines w:val="0"/>
        <w:widowControl/>
        <w:suppressLineNumbers w:val="0"/>
        <w:spacing w:before="0" w:beforeAutospacing="0" w:after="210" w:afterAutospacing="0" w:line="27" w:lineRule="atLeast"/>
        <w:ind w:left="0" w:right="0"/>
        <w:jc w:val="center"/>
        <w:rPr>
          <w:rFonts w:hint="eastAsia" w:ascii="宋体" w:hAnsi="宋体" w:eastAsia="宋体" w:cs="宋体"/>
          <w:sz w:val="24"/>
          <w:szCs w:val="24"/>
        </w:rPr>
      </w:pPr>
      <w:r>
        <w:rPr>
          <w:rStyle w:val="6"/>
          <w:rFonts w:hint="eastAsia" w:ascii="宋体" w:hAnsi="宋体" w:eastAsia="宋体" w:cs="宋体"/>
          <w:color w:val="333333"/>
          <w:sz w:val="24"/>
          <w:szCs w:val="24"/>
          <w:shd w:val="clear" w:fill="FFFFFF"/>
        </w:rPr>
        <w:t>第四章　基础管理</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第三十条　各部门及其所属单位应当按照国家规定设置行政事业性国有资产台账，依照国家统一的会计制度进行会计核算，不得形成账外资产。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第三十一条　各部门及其所属单位采用建设方式配置资产的，应当在建设项目竣工验收合格后及时办理资产交付手续，并在规定期限内办理竣工财务决算，期限最长不得超过1年。</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各部门及其所属单位对已交付但未办理竣工财务决算的建设项目，应当按照国家统一的会计制度确认资产价值。</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第三十二条　各部门及其所属单位对无法进行会计确认入账的资产，可以根据需要组织专家参照资产评估方法进行估价，并作为反映资产状况的依据。</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第三十三条　各部门及其所属单位应当明确资产的维护、保养、维修的岗位责任。因使用不当或者维护、保养、维修不及时造成资产损失的，应当依法承担责任。</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第三十四条　各部门及其所属单位应当定期或者不定期对资产进行盘点、对账。出现资产盘盈盘亏的，应当按照财务、会计和资产管理制度有关规定处理，做到账实相符和账账相符。</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第三十五条　各部门及其所属单位处置资产应当及时核销相关资产台账信息，同时进行会计处理。</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第三十六条　除国家另有规定外，各部门及其所属单位将行政事业性国有资产进行转让、拍卖、置换、对外投资等，应当按照国家有关规定进行资产评估。</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行政事业性国有资产以市场化方式出售、出租的，依照有关规定可以通过相应公共资源交易平台进行。</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第三十七条　有下列情形之一的，各部门及其所属单位应当对行政事业性国有资产进行清查：</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（一）根据本级政府部署要求；</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（二）发生重大资产调拨、划转以及单位分立、合并、改制、撤销、隶属关系改变等情形；</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（三）因自然灾害等不可抗力造成资产毁损、灭失；</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（四）会计信息严重失真；</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（五）国家统一的会计制度发生重大变更，涉及资产核算方法发生重要变化；</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（六）其他应当进行资产清查的情形。</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第三十八条　各部门及其所属单位资产清查结果和涉及资产核实的事项，应当按照国务院财政部门的规定履行审批程序。</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第三十九条　各部门及其所属单位在资产清查中发现账实不符、账账不符的，应当查明原因予以说明，并随同清查结果一并履行审批程序。各部门及其所属单位应当根据审批结果及时调整资产台账信息，同时进行会计处理。</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由于资产使用人、管理人的原因造成资产毁损、灭失的，应当依法追究相关责任。</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第四十条　各部门及其所属单位对需要办理权属登记的资产应当依法及时办理。对有账簿记录但权证手续不全的行政事业性国有资产，可以向本级政府有关主管部门提出确认资产权属申请，及时办理权属登记。</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第四十一条　各部门及其所属单位之间，各部门及其所属单位与其他单位和个人之间发生资产纠纷的，应当依照有关法律法规规定采取协商等方式处理。</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第四十二条　国务院财政部门应当建立全国行政事业性国有资产管理信息系统，推行资产管理网上办理，实现信息共享。</w:t>
      </w:r>
    </w:p>
    <w:p>
      <w:pPr>
        <w:pStyle w:val="3"/>
        <w:keepNext w:val="0"/>
        <w:keepLines w:val="0"/>
        <w:widowControl/>
        <w:suppressLineNumbers w:val="0"/>
        <w:spacing w:before="0" w:beforeAutospacing="0" w:after="210" w:afterAutospacing="0" w:line="27" w:lineRule="atLeast"/>
        <w:ind w:left="0" w:right="0"/>
        <w:jc w:val="center"/>
        <w:rPr>
          <w:rFonts w:hint="eastAsia" w:ascii="宋体" w:hAnsi="宋体" w:eastAsia="宋体" w:cs="宋体"/>
          <w:sz w:val="24"/>
          <w:szCs w:val="24"/>
        </w:rPr>
      </w:pPr>
      <w:r>
        <w:rPr>
          <w:rStyle w:val="6"/>
          <w:rFonts w:hint="eastAsia" w:ascii="宋体" w:hAnsi="宋体" w:eastAsia="宋体" w:cs="宋体"/>
          <w:color w:val="333333"/>
          <w:sz w:val="24"/>
          <w:szCs w:val="24"/>
          <w:shd w:val="clear" w:fill="FFFFFF"/>
        </w:rPr>
        <w:t>第五章　资产报告</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第四十三条　国家建立行政事业性国有资产管理情况报告制度。</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国务院向全国人民代表大会常务委员会报告全国行政事业性国有资产管理情况。</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县级以上地方人民政府按照规定向本级人民代表大会常务委员会报告行政事业性国有资产管理情况。</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第四十四条　行政事业性国有资产管理情况报告，主要包括资产负债总量，相关管理制度建立和实施，资产配置、使用、处置和效益，推进管理体制机制改革等情况。</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行政事业性国有资产管理情况按照国家有关规定向社会公开。</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第四十五条　各部门所属单位应当每年编制本单位行政事业性国有资产管理情况报告，逐级报送相关部门。</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各部门应当汇总编制本部门行政事业性国有资产管理情况报告，报送本级政府财政部门。</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第四十六条　县级以上地方人民政府财政部门应当每年汇总本级和下级行政事业性国有资产管理情况，报送本级政府和上一级政府财政部门。</w:t>
      </w:r>
    </w:p>
    <w:p>
      <w:pPr>
        <w:pStyle w:val="3"/>
        <w:keepNext w:val="0"/>
        <w:keepLines w:val="0"/>
        <w:widowControl/>
        <w:suppressLineNumbers w:val="0"/>
        <w:spacing w:before="0" w:beforeAutospacing="0" w:after="210" w:afterAutospacing="0" w:line="27" w:lineRule="atLeast"/>
        <w:ind w:left="0" w:right="0"/>
        <w:jc w:val="center"/>
        <w:rPr>
          <w:rFonts w:hint="eastAsia" w:ascii="宋体" w:hAnsi="宋体" w:eastAsia="宋体" w:cs="宋体"/>
          <w:sz w:val="24"/>
          <w:szCs w:val="24"/>
        </w:rPr>
      </w:pPr>
      <w:r>
        <w:rPr>
          <w:rStyle w:val="6"/>
          <w:rFonts w:hint="eastAsia" w:ascii="宋体" w:hAnsi="宋体" w:eastAsia="宋体" w:cs="宋体"/>
          <w:color w:val="333333"/>
          <w:sz w:val="24"/>
          <w:szCs w:val="24"/>
          <w:shd w:val="clear" w:fill="FFFFFF"/>
        </w:rPr>
        <w:t>第六章　监　督</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第四十七条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乡、民族乡、镇人民政府应当接受本级人民代表大会对行政事业性国有资产管理情况的监督。</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第四十八条　县级以上人民政府对下级政府的行政事业性国有资产管理情况进行监督。下级政府应当组织落实上一级政府提出的监管要求，并向上一级政府报告落实情况。</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第四十九条　县级以上人民政府财政部门应当对本级各部门及其所属单位行政事业性国有资产管理情况进行监督检查，依法向社会公开检查结果。</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第五十条　县级以上人民政府审计部门依法对行政事业性国有资产管理情况进行审计监督。</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第五十一条　各部门应当建立健全行政事业性国有资产监督管理制度，根据职责对本行业行政事业性国有资产管理依法进行监督。</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各部门所属单位应当制定行政事业性国有资产内部控制制度，防控行政事业性国有资产管理风险。</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第五十二条　公民、法人或者其他组织发现违反本条例的行为，有权向有关部门进行检举、控告。接受检举、控告的有关部门应当依法进行处理，并为检举人、控告人保密。</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任何单位或者个人不得压制和打击报复检举人、控告人。</w:t>
      </w:r>
    </w:p>
    <w:p>
      <w:pPr>
        <w:pStyle w:val="3"/>
        <w:keepNext w:val="0"/>
        <w:keepLines w:val="0"/>
        <w:widowControl/>
        <w:suppressLineNumbers w:val="0"/>
        <w:spacing w:before="0" w:beforeAutospacing="0" w:after="210" w:afterAutospacing="0" w:line="27" w:lineRule="atLeast"/>
        <w:ind w:left="0" w:right="0"/>
        <w:jc w:val="center"/>
        <w:rPr>
          <w:rFonts w:hint="eastAsia" w:ascii="宋体" w:hAnsi="宋体" w:eastAsia="宋体" w:cs="宋体"/>
          <w:sz w:val="24"/>
          <w:szCs w:val="24"/>
        </w:rPr>
      </w:pPr>
      <w:r>
        <w:rPr>
          <w:rStyle w:val="6"/>
          <w:rFonts w:hint="eastAsia" w:ascii="宋体" w:hAnsi="宋体" w:eastAsia="宋体" w:cs="宋体"/>
          <w:color w:val="333333"/>
          <w:sz w:val="24"/>
          <w:szCs w:val="24"/>
          <w:shd w:val="clear" w:fill="FFFFFF"/>
        </w:rPr>
        <w:t>第七章　法律责任</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第五十三条　各部门及其所属单位有下列行为之一的，责令改正，情节较重的，对负有直接责任的主管人员和其他直接责任人员依法给予处分：</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（一）配置、使用、处置国有资产未按照规定经集体决策或者履行审批程序；</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（二）超标准配置国有资产；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（三）未按照规定办理国有资产调剂、调拨、划转、交接等手续；</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（四）未按照规定履行国有资产拍卖、报告、披露等程序；</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（五）未按照规定期限办理建设项目竣工财务决算；</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（六）未按照规定进行国有资产清查；</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（七）未按照规定设置国有资产台账；</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（八）未按照规定编制、报送国有资产管理情况报告。</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第五十四条　各部门及其所属单位有下列行为之一的，责令改正，有违法所得的没收违法所得，情节较重的，对负有直接责任的主管人员和其他直接责任人员依法给予处分；构成犯罪的，依法追究刑事责任：</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（一）非法占有、使用国有资产或者采用弄虚作假等方式低价处置国有资产；</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（二）违反规定将国有资产用于对外投资或者设立营利性组织；</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（三）未按照规定评估国有资产导致国家利益损失；</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（四）其他违反本条例规定造成国有资产损失的行为。</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第五十五条　各部门及其所属单位在国有资产管理工作中有违反预算管理规定行为的，依照《中华人民共和国预算法》及其实施条例、《财政违法行为处罚处分条例》等法律、行政法规追究责任。</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第五十六条　各部门及其所属单位的工作人员在国有资产管理工作中滥用职权、玩忽职守、徇私舞弊或者有浪费国有资产等违法违规行为的，由有关部门依法给予处分；构成犯罪的，依法追究刑事责任。</w:t>
      </w:r>
    </w:p>
    <w:p>
      <w:pPr>
        <w:pStyle w:val="3"/>
        <w:keepNext w:val="0"/>
        <w:keepLines w:val="0"/>
        <w:widowControl/>
        <w:suppressLineNumbers w:val="0"/>
        <w:spacing w:before="0" w:beforeAutospacing="0" w:after="210" w:afterAutospacing="0" w:line="27" w:lineRule="atLeast"/>
        <w:ind w:left="0" w:right="0"/>
        <w:jc w:val="center"/>
        <w:rPr>
          <w:rFonts w:hint="eastAsia" w:ascii="宋体" w:hAnsi="宋体" w:eastAsia="宋体" w:cs="宋体"/>
          <w:sz w:val="24"/>
          <w:szCs w:val="24"/>
        </w:rPr>
      </w:pPr>
      <w:r>
        <w:rPr>
          <w:rStyle w:val="6"/>
          <w:rFonts w:hint="eastAsia" w:ascii="宋体" w:hAnsi="宋体" w:eastAsia="宋体" w:cs="宋体"/>
          <w:color w:val="333333"/>
          <w:sz w:val="24"/>
          <w:szCs w:val="24"/>
          <w:shd w:val="clear" w:fill="FFFFFF"/>
        </w:rPr>
        <w:t>第八章　附　则</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第五十七条　除国家另有规定外，社会组织直接支配的行政事业性国有资产管理，依照本条例执行。</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第五十八条　货币形式的行政事业性国有资产管理，按照预算管理有关规定执行。</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执行企业财务、会计制度的事业单位以及事业单位对外投资的全资企业或者控股企业的资产管理，不适用本条例。</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第五十九条　公共基础设施、政府储备物资、国有文物文化等行政事业性国有资产管理的具体办法，由国务院财政部门会同有关部门制定。</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第六十条　中国人民解放军、中国人民武装警察部队直接支配的行政事业性国有资产管理，依照中央军事委员会有关规定执行。</w:t>
      </w:r>
    </w:p>
    <w:p>
      <w:pPr>
        <w:pStyle w:val="3"/>
        <w:keepNext w:val="0"/>
        <w:keepLines w:val="0"/>
        <w:widowControl/>
        <w:suppressLineNumbers w:val="0"/>
        <w:spacing w:before="0" w:beforeAutospacing="0" w:after="210" w:afterAutospacing="0" w:line="27"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shd w:val="clear" w:fill="FFFFFF"/>
        </w:rPr>
        <w:t>　　第六十一条　本条例自2021年4月1日起施行。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B4E36"/>
    <w:rsid w:val="1EEB4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 w:type="character" w:customStyle="1" w:styleId="9">
    <w:name w:val="on"/>
    <w:basedOn w:val="5"/>
    <w:uiPriority w:val="0"/>
    <w:rPr>
      <w:color w:val="195482"/>
    </w:rPr>
  </w:style>
  <w:style w:type="character" w:customStyle="1" w:styleId="10">
    <w:name w:val="on1"/>
    <w:basedOn w:val="5"/>
    <w:uiPriority w:val="0"/>
    <w:rPr>
      <w:b/>
      <w:bCs/>
      <w:color w:val="004B85"/>
      <w:bdr w:val="none" w:color="auto" w:sz="0" w:space="0"/>
    </w:rPr>
  </w:style>
  <w:style w:type="character" w:customStyle="1" w:styleId="11">
    <w:name w:val="on2"/>
    <w:basedOn w:val="5"/>
    <w:uiPriority w:val="0"/>
    <w:rPr>
      <w:b/>
      <w:bCs/>
      <w:color w:val="195482"/>
      <w:bdr w:val="none" w:color="auto" w:sz="0" w:space="0"/>
    </w:rPr>
  </w:style>
  <w:style w:type="character" w:customStyle="1" w:styleId="12">
    <w:name w:val="on3"/>
    <w:basedOn w:val="5"/>
    <w:uiPriority w:val="0"/>
    <w:rPr>
      <w:b/>
      <w:bCs/>
      <w:color w:val="195383"/>
      <w:bdr w:val="none" w:color="auto" w:sz="0" w:space="0"/>
    </w:rPr>
  </w:style>
  <w:style w:type="character" w:customStyle="1" w:styleId="13">
    <w:name w:val="current"/>
    <w:basedOn w:val="5"/>
    <w:uiPriority w:val="0"/>
    <w:rPr>
      <w:color w:val="3333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2021-04-08T02:54:00Z</dcterms:created>
  <dc:creator>絮</dc:creator>
  <cp:lastModifiedBy>絮</cp:lastModifiedBy>
  <dcterms:modified xsi:type="dcterms:W3CDTF">2021-04-08T02:56:53Z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A34A4789420C4C89A12262E30D2308D3</vt:lpwstr>
  </property>
</Properties>
</file>